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59" w:rsidRDefault="000C16EA" w:rsidP="00D31F59">
      <w:pPr>
        <w:jc w:val="center"/>
        <w:rPr>
          <w:b/>
          <w:sz w:val="36"/>
        </w:rPr>
      </w:pPr>
      <w:r w:rsidRPr="00D31F59">
        <w:rPr>
          <w:b/>
          <w:sz w:val="36"/>
        </w:rPr>
        <w:t>中国建设银行</w:t>
      </w:r>
      <w:r w:rsidRPr="00D31F59">
        <w:rPr>
          <w:b/>
          <w:sz w:val="36"/>
        </w:rPr>
        <w:t>“</w:t>
      </w:r>
      <w:r w:rsidRPr="00D31F59">
        <w:rPr>
          <w:b/>
          <w:sz w:val="36"/>
        </w:rPr>
        <w:t>乾元</w:t>
      </w:r>
      <w:r w:rsidRPr="00D31F59">
        <w:rPr>
          <w:b/>
          <w:sz w:val="36"/>
        </w:rPr>
        <w:t>”</w:t>
      </w:r>
      <w:r w:rsidRPr="00D31F59">
        <w:rPr>
          <w:b/>
          <w:sz w:val="36"/>
        </w:rPr>
        <w:t>量化精选开放式净值型</w:t>
      </w:r>
    </w:p>
    <w:p w:rsidR="00445BA1" w:rsidRPr="00D31F59" w:rsidRDefault="000C16EA" w:rsidP="00D31F59">
      <w:pPr>
        <w:jc w:val="center"/>
        <w:rPr>
          <w:b/>
          <w:sz w:val="36"/>
        </w:rPr>
      </w:pPr>
      <w:r w:rsidRPr="00D31F59">
        <w:rPr>
          <w:rFonts w:hint="eastAsia"/>
          <w:b/>
          <w:sz w:val="36"/>
        </w:rPr>
        <w:t>理财产品</w:t>
      </w:r>
      <w:r w:rsidR="00445BA1" w:rsidRPr="00D31F59">
        <w:rPr>
          <w:rFonts w:hint="eastAsia"/>
          <w:b/>
          <w:sz w:val="36"/>
        </w:rPr>
        <w:t>清算报告</w:t>
      </w:r>
    </w:p>
    <w:p w:rsidR="005A0437" w:rsidRPr="006002D1" w:rsidRDefault="0025075C" w:rsidP="005A0437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6002D1">
        <w:rPr>
          <w:rFonts w:asciiTheme="majorEastAsia" w:eastAsiaTheme="majorEastAsia" w:hAnsiTheme="majorEastAsia" w:hint="eastAsia"/>
          <w:szCs w:val="21"/>
        </w:rPr>
        <w:t>尊敬的投资</w:t>
      </w:r>
      <w:r w:rsidR="00C649A6" w:rsidRPr="006002D1">
        <w:rPr>
          <w:rFonts w:asciiTheme="majorEastAsia" w:eastAsiaTheme="majorEastAsia" w:hAnsiTheme="majorEastAsia" w:hint="eastAsia"/>
          <w:szCs w:val="21"/>
        </w:rPr>
        <w:t>人</w:t>
      </w:r>
      <w:r w:rsidR="005A0437" w:rsidRPr="006002D1">
        <w:rPr>
          <w:rFonts w:asciiTheme="majorEastAsia" w:eastAsiaTheme="majorEastAsia" w:hAnsiTheme="majorEastAsia" w:hint="eastAsia"/>
          <w:szCs w:val="21"/>
        </w:rPr>
        <w:t>：</w:t>
      </w:r>
    </w:p>
    <w:p w:rsidR="00445BA1" w:rsidRPr="006002D1" w:rsidRDefault="005A0437" w:rsidP="005A0437">
      <w:pPr>
        <w:spacing w:line="360" w:lineRule="auto"/>
        <w:ind w:firstLine="420"/>
        <w:rPr>
          <w:rFonts w:asciiTheme="majorEastAsia" w:eastAsiaTheme="majorEastAsia" w:hAnsiTheme="majorEastAsia" w:cs="Arial"/>
          <w:szCs w:val="21"/>
        </w:rPr>
      </w:pPr>
      <w:r w:rsidRPr="006002D1">
        <w:rPr>
          <w:rFonts w:hint="eastAsia"/>
          <w:szCs w:val="21"/>
        </w:rPr>
        <w:t>根据《中国建设银行“乾元”量化精选开放式净值型理财产品风险揭示书》和《中国建设银行“乾元”量化精选开放式净值型理财产品说明书》的约定，中国建设银行</w:t>
      </w:r>
      <w:r w:rsidRPr="006002D1">
        <w:rPr>
          <w:szCs w:val="21"/>
        </w:rPr>
        <w:t>“</w:t>
      </w:r>
      <w:r w:rsidRPr="006002D1">
        <w:rPr>
          <w:rFonts w:hint="eastAsia"/>
          <w:szCs w:val="21"/>
        </w:rPr>
        <w:t>乾元</w:t>
      </w:r>
      <w:r w:rsidRPr="006002D1">
        <w:rPr>
          <w:szCs w:val="21"/>
        </w:rPr>
        <w:t>”</w:t>
      </w:r>
      <w:r w:rsidRPr="006002D1">
        <w:rPr>
          <w:rFonts w:hint="eastAsia"/>
          <w:szCs w:val="21"/>
        </w:rPr>
        <w:t>量化精选开放式净值型理财产品（以下简称“本产品”）已于</w:t>
      </w:r>
      <w:r w:rsidRPr="006002D1">
        <w:rPr>
          <w:rFonts w:hint="eastAsia"/>
          <w:szCs w:val="21"/>
        </w:rPr>
        <w:t>2018</w:t>
      </w:r>
      <w:r w:rsidRPr="006002D1">
        <w:rPr>
          <w:rFonts w:hint="eastAsia"/>
          <w:szCs w:val="21"/>
        </w:rPr>
        <w:t>年</w:t>
      </w:r>
      <w:r w:rsidRPr="006002D1">
        <w:rPr>
          <w:rFonts w:hint="eastAsia"/>
          <w:szCs w:val="21"/>
        </w:rPr>
        <w:t>9</w:t>
      </w:r>
      <w:r w:rsidRPr="006002D1">
        <w:rPr>
          <w:rFonts w:hint="eastAsia"/>
          <w:szCs w:val="21"/>
        </w:rPr>
        <w:t>月</w:t>
      </w:r>
      <w:r w:rsidRPr="006002D1">
        <w:rPr>
          <w:rFonts w:hint="eastAsia"/>
          <w:szCs w:val="21"/>
        </w:rPr>
        <w:t>12</w:t>
      </w:r>
      <w:r w:rsidRPr="006002D1">
        <w:rPr>
          <w:rFonts w:hint="eastAsia"/>
          <w:szCs w:val="21"/>
        </w:rPr>
        <w:t>日提前终止，现将本产品清算结果公告如下：</w:t>
      </w:r>
    </w:p>
    <w:p w:rsidR="00445BA1" w:rsidRPr="006002D1" w:rsidRDefault="00DD021E" w:rsidP="005A0437">
      <w:pPr>
        <w:tabs>
          <w:tab w:val="num" w:pos="975"/>
        </w:tabs>
        <w:spacing w:line="360" w:lineRule="auto"/>
        <w:ind w:left="975" w:hanging="420"/>
        <w:rPr>
          <w:rFonts w:asciiTheme="majorEastAsia" w:eastAsiaTheme="majorEastAsia" w:hAnsiTheme="majorEastAsia"/>
          <w:b/>
          <w:szCs w:val="21"/>
        </w:rPr>
      </w:pPr>
      <w:bookmarkStart w:id="0" w:name="_Toc410043532"/>
      <w:bookmarkStart w:id="1" w:name="_Toc410053157"/>
      <w:r w:rsidRPr="006002D1">
        <w:rPr>
          <w:rFonts w:asciiTheme="majorEastAsia" w:eastAsiaTheme="majorEastAsia" w:hAnsiTheme="majorEastAsia" w:hint="eastAsia"/>
          <w:b/>
          <w:szCs w:val="21"/>
        </w:rPr>
        <w:t>一、理财产品</w:t>
      </w:r>
      <w:bookmarkEnd w:id="0"/>
      <w:bookmarkEnd w:id="1"/>
      <w:r w:rsidRPr="006002D1">
        <w:rPr>
          <w:rFonts w:asciiTheme="majorEastAsia" w:eastAsiaTheme="majorEastAsia" w:hAnsiTheme="majorEastAsia" w:hint="eastAsia"/>
          <w:b/>
          <w:szCs w:val="21"/>
        </w:rPr>
        <w:t>基本情况</w:t>
      </w:r>
    </w:p>
    <w:tbl>
      <w:tblPr>
        <w:tblW w:w="1016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550"/>
        <w:gridCol w:w="1594"/>
        <w:gridCol w:w="1735"/>
        <w:gridCol w:w="1736"/>
        <w:gridCol w:w="1701"/>
      </w:tblGrid>
      <w:tr w:rsidR="00DD021E" w:rsidRPr="006002D1" w:rsidTr="00840760">
        <w:trPr>
          <w:trHeight w:val="589"/>
        </w:trPr>
        <w:tc>
          <w:tcPr>
            <w:tcW w:w="1853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002D1">
              <w:rPr>
                <w:rFonts w:asciiTheme="majorEastAsia" w:eastAsiaTheme="majorEastAsia" w:hAnsiTheme="majorEastAsia" w:hint="eastAsia"/>
                <w:b/>
                <w:szCs w:val="21"/>
              </w:rPr>
              <w:t>产品名称</w:t>
            </w:r>
          </w:p>
        </w:tc>
        <w:tc>
          <w:tcPr>
            <w:tcW w:w="1550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002D1">
              <w:rPr>
                <w:rFonts w:asciiTheme="majorEastAsia" w:eastAsiaTheme="majorEastAsia" w:hAnsiTheme="majorEastAsia" w:hint="eastAsia"/>
                <w:b/>
                <w:szCs w:val="21"/>
              </w:rPr>
              <w:t>募集起始日</w:t>
            </w:r>
          </w:p>
        </w:tc>
        <w:tc>
          <w:tcPr>
            <w:tcW w:w="1594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002D1">
              <w:rPr>
                <w:rFonts w:asciiTheme="majorEastAsia" w:eastAsiaTheme="majorEastAsia" w:hAnsiTheme="majorEastAsia" w:hint="eastAsia"/>
                <w:b/>
                <w:szCs w:val="21"/>
              </w:rPr>
              <w:t>募集结束日</w:t>
            </w:r>
          </w:p>
        </w:tc>
        <w:tc>
          <w:tcPr>
            <w:tcW w:w="1735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002D1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36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002D1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原产品到期日</w:t>
            </w:r>
          </w:p>
        </w:tc>
        <w:tc>
          <w:tcPr>
            <w:tcW w:w="1701" w:type="dxa"/>
            <w:vAlign w:val="center"/>
          </w:tcPr>
          <w:p w:rsidR="00DD021E" w:rsidRPr="006002D1" w:rsidRDefault="0037599E" w:rsidP="0037599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产品实际终止</w:t>
            </w:r>
            <w:r w:rsidR="00DD021E" w:rsidRPr="006002D1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DD021E" w:rsidRPr="006002D1" w:rsidTr="00840760">
        <w:tc>
          <w:tcPr>
            <w:tcW w:w="1853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02D1">
              <w:rPr>
                <w:rFonts w:asciiTheme="majorEastAsia" w:eastAsiaTheme="majorEastAsia" w:hAnsiTheme="majorEastAsia"/>
                <w:szCs w:val="21"/>
              </w:rPr>
              <w:t>中国建设银行“乾元”量化精选开放式净值型</w:t>
            </w:r>
          </w:p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02D1">
              <w:rPr>
                <w:rFonts w:asciiTheme="majorEastAsia" w:eastAsiaTheme="majorEastAsia" w:hAnsiTheme="majorEastAsia" w:hint="eastAsia"/>
                <w:szCs w:val="21"/>
              </w:rPr>
              <w:t>理财产品</w:t>
            </w:r>
          </w:p>
        </w:tc>
        <w:tc>
          <w:tcPr>
            <w:tcW w:w="1550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02D1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2016年6月6日</w:t>
            </w:r>
          </w:p>
        </w:tc>
        <w:tc>
          <w:tcPr>
            <w:tcW w:w="1594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02D1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2016年6月13日</w:t>
            </w:r>
          </w:p>
        </w:tc>
        <w:tc>
          <w:tcPr>
            <w:tcW w:w="1735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02D1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2016年6月14日</w:t>
            </w:r>
          </w:p>
        </w:tc>
        <w:tc>
          <w:tcPr>
            <w:tcW w:w="1736" w:type="dxa"/>
            <w:vAlign w:val="center"/>
          </w:tcPr>
          <w:p w:rsidR="00DD021E" w:rsidRPr="006002D1" w:rsidRDefault="00DD021E" w:rsidP="005A0437">
            <w:pPr>
              <w:spacing w:line="360" w:lineRule="auto"/>
              <w:ind w:firstLineChars="100" w:firstLine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02D1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2021年6月12日</w:t>
            </w:r>
          </w:p>
        </w:tc>
        <w:tc>
          <w:tcPr>
            <w:tcW w:w="1701" w:type="dxa"/>
            <w:vAlign w:val="center"/>
          </w:tcPr>
          <w:p w:rsidR="00DD021E" w:rsidRPr="006002D1" w:rsidRDefault="00DD021E" w:rsidP="005A04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02D1">
              <w:rPr>
                <w:rFonts w:asciiTheme="majorEastAsia" w:eastAsiaTheme="majorEastAsia" w:hAnsiTheme="majorEastAsia" w:hint="eastAsia"/>
                <w:szCs w:val="21"/>
              </w:rPr>
              <w:t>2018年9月12日</w:t>
            </w:r>
          </w:p>
        </w:tc>
      </w:tr>
    </w:tbl>
    <w:p w:rsidR="00DD021E" w:rsidRPr="006002D1" w:rsidRDefault="00DD021E" w:rsidP="006002D1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6002D1">
        <w:rPr>
          <w:rFonts w:asciiTheme="majorEastAsia" w:eastAsiaTheme="majorEastAsia" w:hAnsiTheme="majorEastAsia" w:hint="eastAsia"/>
          <w:szCs w:val="21"/>
        </w:rPr>
        <w:t>理财产品管理人：中国建设银行股份有限公司</w:t>
      </w:r>
    </w:p>
    <w:p w:rsidR="00DD021E" w:rsidRPr="006002D1" w:rsidRDefault="00DD021E" w:rsidP="006002D1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6002D1">
        <w:rPr>
          <w:rFonts w:asciiTheme="majorEastAsia" w:eastAsiaTheme="majorEastAsia" w:hAnsiTheme="majorEastAsia" w:hint="eastAsia"/>
          <w:szCs w:val="21"/>
        </w:rPr>
        <w:t>理财产品托管人：中国建设银行股份有限公司陕西省分行</w:t>
      </w:r>
    </w:p>
    <w:p w:rsidR="00445BA1" w:rsidRPr="006002D1" w:rsidRDefault="001E7E5C" w:rsidP="005A0437">
      <w:pPr>
        <w:tabs>
          <w:tab w:val="num" w:pos="975"/>
        </w:tabs>
        <w:spacing w:line="360" w:lineRule="auto"/>
        <w:ind w:left="975" w:hanging="420"/>
        <w:rPr>
          <w:rFonts w:asciiTheme="majorEastAsia" w:eastAsiaTheme="majorEastAsia" w:hAnsiTheme="majorEastAsia" w:cs="Arial"/>
          <w:b/>
          <w:szCs w:val="21"/>
        </w:rPr>
      </w:pPr>
      <w:bookmarkStart w:id="2" w:name="_Toc410043533"/>
      <w:bookmarkStart w:id="3" w:name="_Toc410053158"/>
      <w:r w:rsidRPr="006002D1">
        <w:rPr>
          <w:rFonts w:asciiTheme="majorEastAsia" w:eastAsiaTheme="majorEastAsia" w:hAnsiTheme="majorEastAsia" w:hint="eastAsia"/>
          <w:b/>
          <w:szCs w:val="21"/>
        </w:rPr>
        <w:t>二、</w:t>
      </w:r>
      <w:bookmarkEnd w:id="2"/>
      <w:bookmarkEnd w:id="3"/>
      <w:r w:rsidR="00CC1F05" w:rsidRPr="006002D1">
        <w:rPr>
          <w:rFonts w:asciiTheme="majorEastAsia" w:eastAsiaTheme="majorEastAsia" w:hAnsiTheme="majorEastAsia" w:cs="Arial" w:hint="eastAsia"/>
          <w:b/>
          <w:szCs w:val="21"/>
        </w:rPr>
        <w:t>产品</w:t>
      </w:r>
      <w:r w:rsidR="00445BA1" w:rsidRPr="006002D1">
        <w:rPr>
          <w:rFonts w:asciiTheme="majorEastAsia" w:eastAsiaTheme="majorEastAsia" w:hAnsiTheme="majorEastAsia" w:cs="Arial" w:hint="eastAsia"/>
          <w:b/>
          <w:szCs w:val="21"/>
        </w:rPr>
        <w:t>终止</w:t>
      </w:r>
      <w:proofErr w:type="gramStart"/>
      <w:r w:rsidR="00445BA1" w:rsidRPr="006002D1">
        <w:rPr>
          <w:rFonts w:asciiTheme="majorEastAsia" w:eastAsiaTheme="majorEastAsia" w:hAnsiTheme="majorEastAsia" w:cs="Arial" w:hint="eastAsia"/>
          <w:b/>
          <w:szCs w:val="21"/>
        </w:rPr>
        <w:t>日资产</w:t>
      </w:r>
      <w:proofErr w:type="gramEnd"/>
      <w:r w:rsidR="00445BA1" w:rsidRPr="006002D1">
        <w:rPr>
          <w:rFonts w:asciiTheme="majorEastAsia" w:eastAsiaTheme="majorEastAsia" w:hAnsiTheme="majorEastAsia" w:cs="Arial" w:hint="eastAsia"/>
          <w:b/>
          <w:szCs w:val="21"/>
        </w:rPr>
        <w:t>负债状况</w:t>
      </w:r>
      <w:r w:rsidR="00794BBC" w:rsidRPr="006002D1">
        <w:rPr>
          <w:rFonts w:asciiTheme="majorEastAsia" w:eastAsiaTheme="majorEastAsia" w:hAnsiTheme="majorEastAsia" w:cs="Arial" w:hint="eastAsia"/>
          <w:b/>
          <w:szCs w:val="21"/>
        </w:rPr>
        <w:t>（2018年9月12日）</w:t>
      </w:r>
    </w:p>
    <w:p w:rsidR="00445BA1" w:rsidRPr="006002D1" w:rsidRDefault="00445BA1" w:rsidP="005A0437">
      <w:pPr>
        <w:spacing w:line="360" w:lineRule="auto"/>
        <w:rPr>
          <w:szCs w:val="21"/>
        </w:rPr>
      </w:pPr>
      <w:r w:rsidRPr="006002D1">
        <w:rPr>
          <w:rFonts w:hint="eastAsia"/>
          <w:szCs w:val="21"/>
        </w:rPr>
        <w:t xml:space="preserve">                                                             </w:t>
      </w:r>
      <w:r w:rsidRPr="006002D1">
        <w:rPr>
          <w:rFonts w:hint="eastAsia"/>
          <w:szCs w:val="21"/>
        </w:rPr>
        <w:t>单位：人民币元</w:t>
      </w:r>
    </w:p>
    <w:tbl>
      <w:tblPr>
        <w:tblW w:w="7996" w:type="dxa"/>
        <w:jc w:val="center"/>
        <w:tblInd w:w="-1493" w:type="dxa"/>
        <w:tblLook w:val="04A0" w:firstRow="1" w:lastRow="0" w:firstColumn="1" w:lastColumn="0" w:noHBand="0" w:noVBand="1"/>
      </w:tblPr>
      <w:tblGrid>
        <w:gridCol w:w="4926"/>
        <w:gridCol w:w="3070"/>
      </w:tblGrid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187A58" w:rsidP="005A043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市值</w:t>
            </w:r>
          </w:p>
        </w:tc>
      </w:tr>
      <w:tr w:rsidR="00187A58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A58" w:rsidRPr="006002D1" w:rsidRDefault="00187A58" w:rsidP="005A043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资产类合计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A58" w:rsidRPr="006002D1" w:rsidRDefault="00187A58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26,144,964.93 </w:t>
            </w:r>
          </w:p>
        </w:tc>
      </w:tr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6002D1">
            <w:pPr>
              <w:widowControl/>
              <w:spacing w:line="360" w:lineRule="auto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>银行存款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327,590.54 </w:t>
            </w:r>
          </w:p>
        </w:tc>
      </w:tr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6002D1">
            <w:pPr>
              <w:widowControl/>
              <w:spacing w:line="360" w:lineRule="auto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信托计划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10,000,000.00 </w:t>
            </w:r>
          </w:p>
        </w:tc>
      </w:tr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6002D1">
            <w:pPr>
              <w:widowControl/>
              <w:spacing w:line="360" w:lineRule="auto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>资产管理计划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15,712,151.17 </w:t>
            </w:r>
          </w:p>
        </w:tc>
      </w:tr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6002D1">
            <w:pPr>
              <w:widowControl/>
              <w:spacing w:line="360" w:lineRule="auto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>应收利息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kern w:val="0"/>
                <w:szCs w:val="21"/>
              </w:rPr>
              <w:t xml:space="preserve">        105,223.22 </w:t>
            </w:r>
          </w:p>
        </w:tc>
      </w:tr>
      <w:tr w:rsidR="00187A58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A58" w:rsidRPr="006002D1" w:rsidRDefault="00187A58" w:rsidP="005A043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负债类合计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A58" w:rsidRPr="006002D1" w:rsidRDefault="00187A58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 357,759.34 </w:t>
            </w:r>
          </w:p>
        </w:tc>
      </w:tr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6002D1">
            <w:pPr>
              <w:widowControl/>
              <w:spacing w:line="360" w:lineRule="auto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>应付托管费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95,636.40 </w:t>
            </w:r>
          </w:p>
        </w:tc>
      </w:tr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6002D1">
            <w:pPr>
              <w:widowControl/>
              <w:spacing w:line="360" w:lineRule="auto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>应付管理费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131,061.47 </w:t>
            </w:r>
          </w:p>
        </w:tc>
      </w:tr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6002D1">
            <w:pPr>
              <w:widowControl/>
              <w:spacing w:line="360" w:lineRule="auto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>应付销售费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131,061.47 </w:t>
            </w:r>
          </w:p>
        </w:tc>
      </w:tr>
      <w:tr w:rsidR="007613FD" w:rsidRPr="006002D1" w:rsidTr="00484E14">
        <w:trPr>
          <w:trHeight w:val="240"/>
          <w:jc w:val="center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493366" w:rsidP="005A043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产品</w:t>
            </w:r>
            <w:r w:rsidR="007613FD"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净值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FD" w:rsidRPr="006002D1" w:rsidRDefault="007613FD" w:rsidP="005A0437">
            <w:pPr>
              <w:widowControl/>
              <w:spacing w:line="360" w:lineRule="auto"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02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25,787,205.59 </w:t>
            </w:r>
          </w:p>
        </w:tc>
      </w:tr>
    </w:tbl>
    <w:p w:rsidR="00294D70" w:rsidRPr="006002D1" w:rsidRDefault="00484E14" w:rsidP="00294D70">
      <w:pPr>
        <w:rPr>
          <w:szCs w:val="21"/>
        </w:rPr>
      </w:pPr>
      <w:r w:rsidRPr="006002D1">
        <w:rPr>
          <w:rFonts w:hint="eastAsia"/>
          <w:szCs w:val="21"/>
        </w:rPr>
        <w:lastRenderedPageBreak/>
        <w:t>注：</w:t>
      </w:r>
      <w:r w:rsidRPr="006002D1">
        <w:rPr>
          <w:rFonts w:hint="eastAsia"/>
          <w:szCs w:val="21"/>
        </w:rPr>
        <w:t>1.</w:t>
      </w:r>
      <w:r w:rsidR="00750D1B" w:rsidRPr="006002D1">
        <w:rPr>
          <w:rFonts w:hint="eastAsia"/>
          <w:szCs w:val="21"/>
        </w:rPr>
        <w:t>信托计划</w:t>
      </w:r>
      <w:r w:rsidRPr="006002D1">
        <w:rPr>
          <w:rFonts w:hint="eastAsia"/>
          <w:szCs w:val="21"/>
        </w:rPr>
        <w:t>指“建信信托同业存放</w:t>
      </w:r>
      <w:r w:rsidRPr="006002D1">
        <w:rPr>
          <w:rFonts w:hint="eastAsia"/>
          <w:szCs w:val="21"/>
        </w:rPr>
        <w:t>06</w:t>
      </w:r>
      <w:r w:rsidRPr="006002D1">
        <w:rPr>
          <w:rFonts w:hint="eastAsia"/>
          <w:szCs w:val="21"/>
        </w:rPr>
        <w:t>”</w:t>
      </w:r>
      <w:r w:rsidR="00F94536" w:rsidRPr="006002D1">
        <w:rPr>
          <w:rFonts w:hint="eastAsia"/>
          <w:szCs w:val="21"/>
        </w:rPr>
        <w:t>，</w:t>
      </w:r>
      <w:r w:rsidR="00294D70" w:rsidRPr="006002D1">
        <w:rPr>
          <w:rFonts w:hint="eastAsia"/>
          <w:szCs w:val="21"/>
        </w:rPr>
        <w:t>于</w:t>
      </w:r>
      <w:r w:rsidR="00294D70" w:rsidRPr="006002D1">
        <w:rPr>
          <w:szCs w:val="21"/>
        </w:rPr>
        <w:t>201</w:t>
      </w:r>
      <w:r w:rsidR="00294D70" w:rsidRPr="006002D1">
        <w:rPr>
          <w:rFonts w:hint="eastAsia"/>
          <w:szCs w:val="21"/>
        </w:rPr>
        <w:t>8</w:t>
      </w:r>
      <w:r w:rsidR="00294D70" w:rsidRPr="006002D1">
        <w:rPr>
          <w:szCs w:val="21"/>
        </w:rPr>
        <w:t>年</w:t>
      </w:r>
      <w:r w:rsidR="00294D70" w:rsidRPr="006002D1">
        <w:rPr>
          <w:szCs w:val="21"/>
        </w:rPr>
        <w:t>9</w:t>
      </w:r>
      <w:r w:rsidR="00294D70" w:rsidRPr="006002D1">
        <w:rPr>
          <w:szCs w:val="21"/>
        </w:rPr>
        <w:t>月</w:t>
      </w:r>
      <w:r w:rsidR="00294D70" w:rsidRPr="006002D1">
        <w:rPr>
          <w:rFonts w:hint="eastAsia"/>
          <w:szCs w:val="21"/>
        </w:rPr>
        <w:t>18</w:t>
      </w:r>
      <w:r w:rsidR="00294D70" w:rsidRPr="006002D1">
        <w:rPr>
          <w:szCs w:val="21"/>
        </w:rPr>
        <w:t>日</w:t>
      </w:r>
      <w:r w:rsidR="00750D1B" w:rsidRPr="006002D1">
        <w:rPr>
          <w:rFonts w:hint="eastAsia"/>
          <w:szCs w:val="21"/>
        </w:rPr>
        <w:t>全部赎回</w:t>
      </w:r>
      <w:r w:rsidR="00294D70" w:rsidRPr="006002D1">
        <w:rPr>
          <w:rFonts w:hint="eastAsia"/>
          <w:szCs w:val="21"/>
        </w:rPr>
        <w:t>，</w:t>
      </w:r>
      <w:r w:rsidR="00294D70" w:rsidRPr="006002D1">
        <w:rPr>
          <w:szCs w:val="21"/>
        </w:rPr>
        <w:t>收到</w:t>
      </w:r>
      <w:r w:rsidR="00750D1B" w:rsidRPr="006002D1">
        <w:rPr>
          <w:rFonts w:hint="eastAsia"/>
          <w:szCs w:val="21"/>
        </w:rPr>
        <w:t>资金</w:t>
      </w:r>
      <w:r w:rsidR="003B37F8" w:rsidRPr="006002D1">
        <w:rPr>
          <w:szCs w:val="21"/>
        </w:rPr>
        <w:t>10</w:t>
      </w:r>
      <w:r w:rsidR="003B37F8" w:rsidRPr="006002D1">
        <w:rPr>
          <w:rFonts w:hint="eastAsia"/>
          <w:szCs w:val="21"/>
        </w:rPr>
        <w:t>,</w:t>
      </w:r>
      <w:r w:rsidR="003B37F8" w:rsidRPr="006002D1">
        <w:rPr>
          <w:szCs w:val="21"/>
        </w:rPr>
        <w:t>109</w:t>
      </w:r>
      <w:r w:rsidR="003B37F8" w:rsidRPr="006002D1">
        <w:rPr>
          <w:rFonts w:hint="eastAsia"/>
          <w:szCs w:val="21"/>
        </w:rPr>
        <w:t>,</w:t>
      </w:r>
      <w:r w:rsidR="003B37F8" w:rsidRPr="006002D1">
        <w:rPr>
          <w:szCs w:val="21"/>
        </w:rPr>
        <w:t>106.85</w:t>
      </w:r>
      <w:r w:rsidR="00294D70" w:rsidRPr="006002D1">
        <w:rPr>
          <w:rFonts w:hint="eastAsia"/>
          <w:szCs w:val="21"/>
        </w:rPr>
        <w:t>元</w:t>
      </w:r>
      <w:r w:rsidR="00294D70" w:rsidRPr="006002D1">
        <w:rPr>
          <w:szCs w:val="21"/>
        </w:rPr>
        <w:t>。</w:t>
      </w:r>
    </w:p>
    <w:p w:rsidR="00F3465F" w:rsidRDefault="00294D70" w:rsidP="000C4BB9">
      <w:pPr>
        <w:ind w:firstLine="420"/>
        <w:rPr>
          <w:szCs w:val="21"/>
        </w:rPr>
      </w:pPr>
      <w:r w:rsidRPr="006002D1">
        <w:rPr>
          <w:rFonts w:hint="eastAsia"/>
          <w:szCs w:val="21"/>
        </w:rPr>
        <w:t>2.</w:t>
      </w:r>
      <w:r w:rsidR="00750D1B" w:rsidRPr="006002D1">
        <w:rPr>
          <w:rFonts w:hint="eastAsia"/>
          <w:szCs w:val="21"/>
        </w:rPr>
        <w:t>资产管理计划</w:t>
      </w:r>
      <w:r w:rsidR="00951B10" w:rsidRPr="006002D1">
        <w:rPr>
          <w:rFonts w:hint="eastAsia"/>
          <w:szCs w:val="21"/>
        </w:rPr>
        <w:t>指</w:t>
      </w:r>
      <w:r w:rsidR="00484E14" w:rsidRPr="006002D1">
        <w:rPr>
          <w:rFonts w:hint="eastAsia"/>
          <w:szCs w:val="21"/>
        </w:rPr>
        <w:t>“建信乾元</w:t>
      </w:r>
      <w:r w:rsidR="00484E14" w:rsidRPr="006002D1">
        <w:rPr>
          <w:rFonts w:hint="eastAsia"/>
          <w:szCs w:val="21"/>
        </w:rPr>
        <w:t>5</w:t>
      </w:r>
      <w:r w:rsidR="00484E14" w:rsidRPr="006002D1">
        <w:rPr>
          <w:rFonts w:hint="eastAsia"/>
          <w:szCs w:val="21"/>
        </w:rPr>
        <w:t>号”</w:t>
      </w:r>
      <w:r w:rsidRPr="006002D1">
        <w:rPr>
          <w:rFonts w:hint="eastAsia"/>
          <w:szCs w:val="21"/>
        </w:rPr>
        <w:t>，于</w:t>
      </w:r>
      <w:r w:rsidRPr="006002D1">
        <w:rPr>
          <w:rFonts w:hint="eastAsia"/>
          <w:szCs w:val="21"/>
        </w:rPr>
        <w:t>2018</w:t>
      </w:r>
      <w:r w:rsidRPr="006002D1">
        <w:rPr>
          <w:rFonts w:hint="eastAsia"/>
          <w:szCs w:val="21"/>
        </w:rPr>
        <w:t>年</w:t>
      </w:r>
      <w:r w:rsidRPr="006002D1">
        <w:rPr>
          <w:rFonts w:hint="eastAsia"/>
          <w:szCs w:val="21"/>
        </w:rPr>
        <w:t>9</w:t>
      </w:r>
      <w:r w:rsidRPr="006002D1">
        <w:rPr>
          <w:rFonts w:hint="eastAsia"/>
          <w:szCs w:val="21"/>
        </w:rPr>
        <w:t>月</w:t>
      </w:r>
      <w:r w:rsidRPr="006002D1">
        <w:rPr>
          <w:rFonts w:hint="eastAsia"/>
          <w:szCs w:val="21"/>
        </w:rPr>
        <w:t>17</w:t>
      </w:r>
      <w:r w:rsidRPr="006002D1">
        <w:rPr>
          <w:rFonts w:hint="eastAsia"/>
          <w:szCs w:val="21"/>
        </w:rPr>
        <w:t>日</w:t>
      </w:r>
      <w:r w:rsidR="00750D1B" w:rsidRPr="006002D1">
        <w:rPr>
          <w:rFonts w:hint="eastAsia"/>
          <w:szCs w:val="21"/>
        </w:rPr>
        <w:t>全部赎回</w:t>
      </w:r>
      <w:r w:rsidR="006F53EB" w:rsidRPr="006002D1">
        <w:rPr>
          <w:rFonts w:hint="eastAsia"/>
          <w:szCs w:val="21"/>
        </w:rPr>
        <w:t>，收到</w:t>
      </w:r>
      <w:r w:rsidR="00750D1B" w:rsidRPr="006002D1">
        <w:rPr>
          <w:rFonts w:hint="eastAsia"/>
          <w:szCs w:val="21"/>
        </w:rPr>
        <w:t>资金</w:t>
      </w:r>
      <w:r w:rsidR="003B37F8" w:rsidRPr="006002D1">
        <w:rPr>
          <w:rFonts w:hint="eastAsia"/>
          <w:szCs w:val="21"/>
        </w:rPr>
        <w:t>15,713,744.86</w:t>
      </w:r>
      <w:r w:rsidR="003B37F8" w:rsidRPr="006002D1">
        <w:rPr>
          <w:rFonts w:hint="eastAsia"/>
          <w:szCs w:val="21"/>
        </w:rPr>
        <w:t>元。</w:t>
      </w:r>
    </w:p>
    <w:p w:rsidR="004742EC" w:rsidRPr="006002D1" w:rsidRDefault="004742EC" w:rsidP="000C4BB9">
      <w:pPr>
        <w:ind w:firstLine="420"/>
        <w:rPr>
          <w:szCs w:val="21"/>
        </w:rPr>
      </w:pPr>
      <w:r>
        <w:rPr>
          <w:rFonts w:hint="eastAsia"/>
          <w:szCs w:val="21"/>
        </w:rPr>
        <w:t>3.2018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日为产品开放日，本次开放日投资人</w:t>
      </w:r>
      <w:r w:rsidR="00AC1201">
        <w:rPr>
          <w:rFonts w:hint="eastAsia"/>
          <w:szCs w:val="21"/>
        </w:rPr>
        <w:t>累计</w:t>
      </w:r>
      <w:r>
        <w:rPr>
          <w:rFonts w:hint="eastAsia"/>
          <w:szCs w:val="21"/>
        </w:rPr>
        <w:t>赎回产品份额</w:t>
      </w:r>
      <w:r w:rsidR="00AC1201">
        <w:rPr>
          <w:szCs w:val="21"/>
        </w:rPr>
        <w:t>1</w:t>
      </w:r>
      <w:r w:rsidR="00AC1201">
        <w:rPr>
          <w:rFonts w:hint="eastAsia"/>
          <w:szCs w:val="21"/>
        </w:rPr>
        <w:t>,</w:t>
      </w:r>
      <w:r w:rsidR="00AC1201">
        <w:rPr>
          <w:szCs w:val="21"/>
        </w:rPr>
        <w:t>846</w:t>
      </w:r>
      <w:r w:rsidR="00AC1201">
        <w:rPr>
          <w:rFonts w:hint="eastAsia"/>
          <w:szCs w:val="21"/>
        </w:rPr>
        <w:t>,</w:t>
      </w:r>
      <w:r w:rsidR="00AC1201">
        <w:rPr>
          <w:szCs w:val="21"/>
        </w:rPr>
        <w:t>748.07</w:t>
      </w:r>
      <w:r w:rsidR="00AC1201">
        <w:rPr>
          <w:rFonts w:hint="eastAsia"/>
          <w:szCs w:val="21"/>
        </w:rPr>
        <w:t>，</w:t>
      </w:r>
      <w:proofErr w:type="gramStart"/>
      <w:r w:rsidR="00AC1201">
        <w:rPr>
          <w:rFonts w:hint="eastAsia"/>
          <w:szCs w:val="21"/>
        </w:rPr>
        <w:t>赎回</w:t>
      </w:r>
      <w:r w:rsidR="00961DEE">
        <w:rPr>
          <w:rFonts w:hint="eastAsia"/>
          <w:szCs w:val="21"/>
        </w:rPr>
        <w:t>款</w:t>
      </w:r>
      <w:proofErr w:type="gramEnd"/>
      <w:r>
        <w:rPr>
          <w:rFonts w:hint="eastAsia"/>
          <w:szCs w:val="21"/>
        </w:rPr>
        <w:t>于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日发放，金额</w:t>
      </w:r>
      <w:r w:rsidRPr="004742EC">
        <w:rPr>
          <w:szCs w:val="21"/>
        </w:rPr>
        <w:t>1</w:t>
      </w:r>
      <w:r>
        <w:rPr>
          <w:rFonts w:hint="eastAsia"/>
          <w:szCs w:val="21"/>
        </w:rPr>
        <w:t>,</w:t>
      </w:r>
      <w:r w:rsidRPr="004742EC">
        <w:rPr>
          <w:szCs w:val="21"/>
        </w:rPr>
        <w:t>898</w:t>
      </w:r>
      <w:r>
        <w:rPr>
          <w:rFonts w:hint="eastAsia"/>
          <w:szCs w:val="21"/>
        </w:rPr>
        <w:t>,</w:t>
      </w:r>
      <w:r w:rsidRPr="004742EC">
        <w:rPr>
          <w:szCs w:val="21"/>
        </w:rPr>
        <w:t>253.88</w:t>
      </w:r>
      <w:r>
        <w:rPr>
          <w:rFonts w:hint="eastAsia"/>
          <w:szCs w:val="21"/>
        </w:rPr>
        <w:t>元。</w:t>
      </w:r>
    </w:p>
    <w:p w:rsidR="005A0437" w:rsidRDefault="005A0437" w:rsidP="005A0437">
      <w:pPr>
        <w:spacing w:line="360" w:lineRule="auto"/>
        <w:ind w:left="555"/>
        <w:rPr>
          <w:b/>
          <w:szCs w:val="21"/>
        </w:rPr>
      </w:pPr>
      <w:r w:rsidRPr="006002D1">
        <w:rPr>
          <w:rFonts w:hint="eastAsia"/>
          <w:b/>
          <w:szCs w:val="21"/>
        </w:rPr>
        <w:t>三、</w:t>
      </w:r>
      <w:r w:rsidR="0025075C" w:rsidRPr="006002D1">
        <w:rPr>
          <w:rFonts w:hint="eastAsia"/>
          <w:b/>
          <w:szCs w:val="21"/>
        </w:rPr>
        <w:t>产品</w:t>
      </w:r>
      <w:r w:rsidRPr="006002D1">
        <w:rPr>
          <w:b/>
          <w:szCs w:val="21"/>
        </w:rPr>
        <w:t>清算安排</w:t>
      </w:r>
    </w:p>
    <w:p w:rsidR="005A0437" w:rsidRPr="006002D1" w:rsidRDefault="004742EC" w:rsidP="004742EC"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ab/>
      </w:r>
      <w:r w:rsidRPr="006002D1">
        <w:rPr>
          <w:rFonts w:hint="eastAsia"/>
          <w:szCs w:val="21"/>
        </w:rPr>
        <w:t>产品清算日为</w:t>
      </w:r>
      <w:r w:rsidRPr="006002D1">
        <w:rPr>
          <w:rFonts w:hint="eastAsia"/>
          <w:szCs w:val="21"/>
        </w:rPr>
        <w:t>2018</w:t>
      </w:r>
      <w:r w:rsidRPr="006002D1">
        <w:rPr>
          <w:rFonts w:hint="eastAsia"/>
          <w:szCs w:val="21"/>
        </w:rPr>
        <w:t>年</w:t>
      </w:r>
      <w:r w:rsidRPr="006002D1">
        <w:rPr>
          <w:rFonts w:hint="eastAsia"/>
          <w:szCs w:val="21"/>
        </w:rPr>
        <w:t>9</w:t>
      </w:r>
      <w:r w:rsidRPr="006002D1">
        <w:rPr>
          <w:rFonts w:hint="eastAsia"/>
          <w:szCs w:val="21"/>
        </w:rPr>
        <w:t>月</w:t>
      </w:r>
      <w:r w:rsidRPr="006002D1">
        <w:rPr>
          <w:rFonts w:hint="eastAsia"/>
          <w:szCs w:val="21"/>
        </w:rPr>
        <w:t>20</w:t>
      </w:r>
      <w:r w:rsidRPr="006002D1">
        <w:rPr>
          <w:rFonts w:hint="eastAsia"/>
          <w:szCs w:val="21"/>
        </w:rPr>
        <w:t>日</w:t>
      </w:r>
      <w:r>
        <w:rPr>
          <w:rFonts w:hint="eastAsia"/>
          <w:szCs w:val="21"/>
        </w:rPr>
        <w:t>，兑付日为</w:t>
      </w:r>
      <w:r w:rsidRPr="006002D1">
        <w:rPr>
          <w:rFonts w:hint="eastAsia"/>
          <w:szCs w:val="21"/>
        </w:rPr>
        <w:t>2018</w:t>
      </w:r>
      <w:r w:rsidRPr="006002D1">
        <w:rPr>
          <w:rFonts w:hint="eastAsia"/>
          <w:szCs w:val="21"/>
        </w:rPr>
        <w:t>年</w:t>
      </w:r>
      <w:r w:rsidRPr="006002D1">
        <w:rPr>
          <w:rFonts w:hint="eastAsia"/>
          <w:szCs w:val="21"/>
        </w:rPr>
        <w:t>9</w:t>
      </w:r>
      <w:r w:rsidRPr="006002D1">
        <w:rPr>
          <w:rFonts w:hint="eastAsia"/>
          <w:szCs w:val="21"/>
        </w:rPr>
        <w:t>月</w:t>
      </w:r>
      <w:r w:rsidRPr="006002D1">
        <w:rPr>
          <w:rFonts w:hint="eastAsia"/>
          <w:szCs w:val="21"/>
        </w:rPr>
        <w:t>2</w:t>
      </w:r>
      <w:r>
        <w:rPr>
          <w:rFonts w:hint="eastAsia"/>
          <w:szCs w:val="21"/>
        </w:rPr>
        <w:t>1</w:t>
      </w:r>
      <w:r w:rsidRPr="006002D1">
        <w:rPr>
          <w:rFonts w:hint="eastAsia"/>
          <w:szCs w:val="21"/>
        </w:rPr>
        <w:t>日</w:t>
      </w:r>
      <w:r>
        <w:rPr>
          <w:rFonts w:hint="eastAsia"/>
          <w:szCs w:val="21"/>
        </w:rPr>
        <w:t>。</w:t>
      </w:r>
      <w:r w:rsidRPr="006002D1">
        <w:rPr>
          <w:rFonts w:hint="eastAsia"/>
          <w:szCs w:val="21"/>
        </w:rPr>
        <w:t>产品终止日至产品清算日期间，银行存款产生的利息仍作为投资人收益，</w:t>
      </w:r>
      <w:r w:rsidR="002A4BAF" w:rsidRPr="006002D1">
        <w:rPr>
          <w:rFonts w:hint="eastAsia"/>
          <w:szCs w:val="21"/>
        </w:rPr>
        <w:t>实际利息以</w:t>
      </w:r>
      <w:r w:rsidR="002A4BAF">
        <w:rPr>
          <w:rFonts w:hint="eastAsia"/>
          <w:szCs w:val="21"/>
        </w:rPr>
        <w:t>银行</w:t>
      </w:r>
      <w:r w:rsidR="002A4BAF" w:rsidRPr="006002D1">
        <w:rPr>
          <w:rFonts w:hint="eastAsia"/>
          <w:szCs w:val="21"/>
        </w:rPr>
        <w:t>结息或到账金额为准。</w:t>
      </w:r>
      <w:r w:rsidR="000C4BB9" w:rsidRPr="006002D1">
        <w:rPr>
          <w:rFonts w:hint="eastAsia"/>
          <w:szCs w:val="21"/>
        </w:rPr>
        <w:t>截止清算日</w:t>
      </w:r>
      <w:r w:rsidR="00AD0948">
        <w:rPr>
          <w:rFonts w:hint="eastAsia"/>
          <w:szCs w:val="21"/>
        </w:rPr>
        <w:t>本产品可分配</w:t>
      </w:r>
      <w:r w:rsidR="005A0437" w:rsidRPr="006002D1">
        <w:rPr>
          <w:szCs w:val="21"/>
        </w:rPr>
        <w:t>金额</w:t>
      </w:r>
      <w:r w:rsidR="005A0437" w:rsidRPr="006002D1">
        <w:rPr>
          <w:rFonts w:hint="eastAsia"/>
          <w:szCs w:val="21"/>
        </w:rPr>
        <w:t>为</w:t>
      </w:r>
      <w:r w:rsidR="005A0437" w:rsidRPr="006002D1">
        <w:rPr>
          <w:szCs w:val="21"/>
        </w:rPr>
        <w:t>：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1"/>
        <w:gridCol w:w="3121"/>
      </w:tblGrid>
      <w:tr w:rsidR="005A0437" w:rsidRPr="006002D1" w:rsidTr="00D31F59">
        <w:tc>
          <w:tcPr>
            <w:tcW w:w="1584" w:type="pct"/>
            <w:vAlign w:val="center"/>
          </w:tcPr>
          <w:p w:rsidR="005A0437" w:rsidRPr="006002D1" w:rsidRDefault="005A0437" w:rsidP="005A0437">
            <w:pPr>
              <w:spacing w:line="360" w:lineRule="auto"/>
              <w:jc w:val="center"/>
              <w:rPr>
                <w:b/>
                <w:szCs w:val="21"/>
              </w:rPr>
            </w:pPr>
            <w:r w:rsidRPr="006002D1">
              <w:rPr>
                <w:b/>
                <w:szCs w:val="21"/>
              </w:rPr>
              <w:t>项目</w:t>
            </w:r>
          </w:p>
        </w:tc>
        <w:tc>
          <w:tcPr>
            <w:tcW w:w="1585" w:type="pct"/>
            <w:vAlign w:val="center"/>
          </w:tcPr>
          <w:p w:rsidR="005A0437" w:rsidRPr="006002D1" w:rsidRDefault="005A0437" w:rsidP="005A0437">
            <w:pPr>
              <w:spacing w:line="360" w:lineRule="auto"/>
              <w:jc w:val="center"/>
              <w:rPr>
                <w:b/>
                <w:szCs w:val="21"/>
              </w:rPr>
            </w:pPr>
            <w:r w:rsidRPr="006002D1">
              <w:rPr>
                <w:b/>
                <w:szCs w:val="21"/>
              </w:rPr>
              <w:t>金额</w:t>
            </w:r>
            <w:r w:rsidR="00750D1B" w:rsidRPr="006002D1">
              <w:rPr>
                <w:rFonts w:hint="eastAsia"/>
                <w:b/>
                <w:szCs w:val="21"/>
              </w:rPr>
              <w:t>（</w:t>
            </w:r>
            <w:r w:rsidR="00AD0948" w:rsidRPr="00AD0948">
              <w:rPr>
                <w:b/>
                <w:szCs w:val="21"/>
              </w:rPr>
              <w:t>人民币</w:t>
            </w:r>
            <w:r w:rsidR="00750D1B" w:rsidRPr="006002D1">
              <w:rPr>
                <w:rFonts w:hint="eastAsia"/>
                <w:b/>
                <w:szCs w:val="21"/>
              </w:rPr>
              <w:t>元）</w:t>
            </w:r>
          </w:p>
        </w:tc>
        <w:tc>
          <w:tcPr>
            <w:tcW w:w="1831" w:type="pct"/>
            <w:vAlign w:val="center"/>
          </w:tcPr>
          <w:p w:rsidR="005A0437" w:rsidRPr="006002D1" w:rsidRDefault="005A0437" w:rsidP="005A0437">
            <w:pPr>
              <w:spacing w:line="360" w:lineRule="auto"/>
              <w:jc w:val="center"/>
              <w:rPr>
                <w:b/>
                <w:szCs w:val="21"/>
              </w:rPr>
            </w:pPr>
            <w:r w:rsidRPr="006002D1">
              <w:rPr>
                <w:b/>
                <w:szCs w:val="21"/>
              </w:rPr>
              <w:t>备注</w:t>
            </w:r>
          </w:p>
        </w:tc>
      </w:tr>
      <w:tr w:rsidR="005A0437" w:rsidRPr="006002D1" w:rsidTr="00D31F59">
        <w:tc>
          <w:tcPr>
            <w:tcW w:w="1584" w:type="pct"/>
            <w:vAlign w:val="center"/>
          </w:tcPr>
          <w:p w:rsidR="005A0437" w:rsidRPr="006002D1" w:rsidRDefault="005A0437" w:rsidP="00AD0948">
            <w:pPr>
              <w:spacing w:line="360" w:lineRule="auto"/>
              <w:rPr>
                <w:b/>
                <w:szCs w:val="21"/>
              </w:rPr>
            </w:pPr>
            <w:r w:rsidRPr="006002D1">
              <w:rPr>
                <w:b/>
                <w:szCs w:val="21"/>
              </w:rPr>
              <w:t>总资产</w:t>
            </w:r>
          </w:p>
        </w:tc>
        <w:tc>
          <w:tcPr>
            <w:tcW w:w="1585" w:type="pct"/>
            <w:vAlign w:val="center"/>
          </w:tcPr>
          <w:p w:rsidR="005A0437" w:rsidRPr="006002D1" w:rsidRDefault="00750D1B" w:rsidP="00750D1B">
            <w:pPr>
              <w:tabs>
                <w:tab w:val="decimal" w:pos="1735"/>
              </w:tabs>
              <w:spacing w:line="360" w:lineRule="auto"/>
              <w:jc w:val="right"/>
              <w:rPr>
                <w:b/>
                <w:kern w:val="0"/>
                <w:szCs w:val="21"/>
              </w:rPr>
            </w:pPr>
            <w:r w:rsidRPr="006002D1">
              <w:rPr>
                <w:rFonts w:ascii="宋体" w:hAnsiTheme="minorHAnsi" w:cs="宋体"/>
                <w:color w:val="000000"/>
                <w:kern w:val="0"/>
                <w:szCs w:val="21"/>
              </w:rPr>
              <w:t>24,258,116.40</w:t>
            </w:r>
          </w:p>
        </w:tc>
        <w:tc>
          <w:tcPr>
            <w:tcW w:w="1831" w:type="pct"/>
            <w:vAlign w:val="center"/>
          </w:tcPr>
          <w:p w:rsidR="005A0437" w:rsidRPr="006002D1" w:rsidRDefault="005A0437" w:rsidP="005A0437">
            <w:pPr>
              <w:spacing w:line="360" w:lineRule="auto"/>
              <w:rPr>
                <w:b/>
                <w:kern w:val="0"/>
                <w:szCs w:val="21"/>
              </w:rPr>
            </w:pPr>
          </w:p>
        </w:tc>
      </w:tr>
      <w:tr w:rsidR="005A0437" w:rsidRPr="006002D1" w:rsidTr="00D31F59">
        <w:tc>
          <w:tcPr>
            <w:tcW w:w="1584" w:type="pct"/>
            <w:vAlign w:val="center"/>
          </w:tcPr>
          <w:p w:rsidR="005A0437" w:rsidRPr="00AD0948" w:rsidRDefault="00AD0948" w:rsidP="00AD0948">
            <w:pPr>
              <w:spacing w:line="360" w:lineRule="auto"/>
              <w:rPr>
                <w:b/>
                <w:szCs w:val="21"/>
              </w:rPr>
            </w:pPr>
            <w:r w:rsidRPr="00AD0948">
              <w:rPr>
                <w:rFonts w:hint="eastAsia"/>
                <w:b/>
                <w:szCs w:val="21"/>
              </w:rPr>
              <w:t>总负债</w:t>
            </w:r>
          </w:p>
        </w:tc>
        <w:tc>
          <w:tcPr>
            <w:tcW w:w="1585" w:type="pct"/>
            <w:vAlign w:val="center"/>
          </w:tcPr>
          <w:p w:rsidR="005A0437" w:rsidRPr="00A237DE" w:rsidRDefault="00FB7D90" w:rsidP="00750D1B">
            <w:pPr>
              <w:jc w:val="right"/>
              <w:rPr>
                <w:rFonts w:ascii="宋体" w:hAnsiTheme="minorHAnsi" w:cs="宋体"/>
                <w:color w:val="000000"/>
                <w:kern w:val="0"/>
                <w:szCs w:val="21"/>
              </w:rPr>
            </w:pPr>
            <w:r w:rsidRPr="00A237DE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      357,759.34</w:t>
            </w:r>
          </w:p>
        </w:tc>
        <w:tc>
          <w:tcPr>
            <w:tcW w:w="1831" w:type="pct"/>
            <w:vAlign w:val="center"/>
          </w:tcPr>
          <w:p w:rsidR="005A0437" w:rsidRPr="006002D1" w:rsidRDefault="005A0437" w:rsidP="000A4F73">
            <w:pPr>
              <w:spacing w:line="360" w:lineRule="auto"/>
              <w:rPr>
                <w:szCs w:val="21"/>
              </w:rPr>
            </w:pPr>
            <w:r w:rsidRPr="006002D1">
              <w:rPr>
                <w:rFonts w:hint="eastAsia"/>
                <w:szCs w:val="21"/>
              </w:rPr>
              <w:t>应付销售费、管理费、托管费</w:t>
            </w:r>
          </w:p>
        </w:tc>
      </w:tr>
      <w:tr w:rsidR="005A0437" w:rsidRPr="006002D1" w:rsidTr="00D31F59">
        <w:trPr>
          <w:trHeight w:val="70"/>
        </w:trPr>
        <w:tc>
          <w:tcPr>
            <w:tcW w:w="1584" w:type="pct"/>
            <w:vAlign w:val="center"/>
          </w:tcPr>
          <w:p w:rsidR="005A0437" w:rsidRPr="006002D1" w:rsidRDefault="00AD0948" w:rsidP="005A043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可</w:t>
            </w:r>
            <w:r w:rsidR="005A0437" w:rsidRPr="006002D1">
              <w:rPr>
                <w:b/>
                <w:szCs w:val="21"/>
              </w:rPr>
              <w:t>分配金额</w:t>
            </w:r>
          </w:p>
        </w:tc>
        <w:tc>
          <w:tcPr>
            <w:tcW w:w="1585" w:type="pct"/>
            <w:vAlign w:val="center"/>
          </w:tcPr>
          <w:p w:rsidR="005A0437" w:rsidRPr="006002D1" w:rsidRDefault="00750D1B" w:rsidP="00750D1B">
            <w:pPr>
              <w:tabs>
                <w:tab w:val="decimal" w:pos="1735"/>
              </w:tabs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6002D1">
              <w:rPr>
                <w:rFonts w:ascii="宋体" w:hAnsi="宋体" w:cs="宋体" w:hint="eastAsia"/>
                <w:szCs w:val="21"/>
              </w:rPr>
              <w:t>23,900,357.06</w:t>
            </w:r>
          </w:p>
        </w:tc>
        <w:tc>
          <w:tcPr>
            <w:tcW w:w="1831" w:type="pct"/>
            <w:vAlign w:val="center"/>
          </w:tcPr>
          <w:p w:rsidR="005A0437" w:rsidRPr="006002D1" w:rsidRDefault="00790B7B" w:rsidP="00790B7B">
            <w:pPr>
              <w:spacing w:line="360" w:lineRule="auto"/>
              <w:rPr>
                <w:szCs w:val="21"/>
              </w:rPr>
            </w:pPr>
            <w:r w:rsidRPr="006002D1">
              <w:rPr>
                <w:rFonts w:hint="eastAsia"/>
                <w:szCs w:val="21"/>
              </w:rPr>
              <w:t>未包含</w:t>
            </w:r>
            <w:r w:rsidR="000A4F73" w:rsidRPr="006002D1">
              <w:rPr>
                <w:rFonts w:hint="eastAsia"/>
                <w:szCs w:val="21"/>
              </w:rPr>
              <w:t>清算日</w:t>
            </w:r>
            <w:r w:rsidRPr="006002D1">
              <w:rPr>
                <w:rFonts w:hint="eastAsia"/>
                <w:szCs w:val="21"/>
              </w:rPr>
              <w:t>至兑付日</w:t>
            </w:r>
            <w:r w:rsidR="000A4F73" w:rsidRPr="006002D1">
              <w:rPr>
                <w:rFonts w:hint="eastAsia"/>
                <w:szCs w:val="21"/>
              </w:rPr>
              <w:t>之间的</w:t>
            </w:r>
            <w:r w:rsidRPr="006002D1">
              <w:rPr>
                <w:rFonts w:hint="eastAsia"/>
                <w:szCs w:val="21"/>
              </w:rPr>
              <w:t>银行存款</w:t>
            </w:r>
            <w:r w:rsidR="000A4F73" w:rsidRPr="006002D1">
              <w:rPr>
                <w:rFonts w:hint="eastAsia"/>
                <w:szCs w:val="21"/>
              </w:rPr>
              <w:t>活期利息和</w:t>
            </w:r>
            <w:proofErr w:type="gramStart"/>
            <w:r w:rsidR="000A4F73" w:rsidRPr="006002D1">
              <w:rPr>
                <w:rFonts w:hint="eastAsia"/>
                <w:szCs w:val="21"/>
              </w:rPr>
              <w:t>划款</w:t>
            </w:r>
            <w:r w:rsidRPr="006002D1">
              <w:rPr>
                <w:rFonts w:hint="eastAsia"/>
                <w:szCs w:val="21"/>
              </w:rPr>
              <w:t>及销户</w:t>
            </w:r>
            <w:proofErr w:type="gramEnd"/>
            <w:r w:rsidR="000A4F73" w:rsidRPr="006002D1">
              <w:rPr>
                <w:rFonts w:hint="eastAsia"/>
                <w:szCs w:val="21"/>
              </w:rPr>
              <w:t>时产生的</w:t>
            </w:r>
            <w:r w:rsidRPr="006002D1">
              <w:rPr>
                <w:rFonts w:hint="eastAsia"/>
                <w:szCs w:val="21"/>
              </w:rPr>
              <w:t>账户</w:t>
            </w:r>
            <w:r w:rsidR="000A4F73" w:rsidRPr="006002D1">
              <w:rPr>
                <w:rFonts w:hint="eastAsia"/>
                <w:szCs w:val="21"/>
              </w:rPr>
              <w:t>费用。</w:t>
            </w:r>
          </w:p>
        </w:tc>
      </w:tr>
    </w:tbl>
    <w:p w:rsidR="005A0437" w:rsidRPr="006002D1" w:rsidRDefault="00AD0948" w:rsidP="00924726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产品清算日可分配金额</w:t>
      </w:r>
      <w:r w:rsidR="00032FD0" w:rsidRPr="006002D1">
        <w:rPr>
          <w:rFonts w:ascii="宋体" w:hAnsi="宋体" w:cs="宋体" w:hint="eastAsia"/>
          <w:szCs w:val="21"/>
        </w:rPr>
        <w:t>23,900,357.06</w:t>
      </w:r>
      <w:r w:rsidR="005A0437" w:rsidRPr="006002D1">
        <w:rPr>
          <w:szCs w:val="21"/>
        </w:rPr>
        <w:t>元，于</w:t>
      </w:r>
      <w:r w:rsidR="00C649A6" w:rsidRPr="006002D1">
        <w:rPr>
          <w:rFonts w:hint="eastAsia"/>
          <w:szCs w:val="21"/>
        </w:rPr>
        <w:t>2018</w:t>
      </w:r>
      <w:r w:rsidR="005A0437" w:rsidRPr="006002D1">
        <w:rPr>
          <w:rFonts w:hint="eastAsia"/>
          <w:szCs w:val="21"/>
        </w:rPr>
        <w:t>年</w:t>
      </w:r>
      <w:r w:rsidR="001D0ACD" w:rsidRPr="006002D1">
        <w:rPr>
          <w:rFonts w:hint="eastAsia"/>
          <w:szCs w:val="21"/>
        </w:rPr>
        <w:t>9</w:t>
      </w:r>
      <w:r w:rsidR="005A0437" w:rsidRPr="006002D1">
        <w:rPr>
          <w:rFonts w:hint="eastAsia"/>
          <w:szCs w:val="21"/>
        </w:rPr>
        <w:t>月</w:t>
      </w:r>
      <w:r w:rsidR="001D0ACD" w:rsidRPr="006002D1">
        <w:rPr>
          <w:rFonts w:hint="eastAsia"/>
          <w:szCs w:val="21"/>
        </w:rPr>
        <w:t>21</w:t>
      </w:r>
      <w:r w:rsidR="005A0437" w:rsidRPr="006002D1">
        <w:rPr>
          <w:rFonts w:hint="eastAsia"/>
          <w:szCs w:val="21"/>
        </w:rPr>
        <w:t>日</w:t>
      </w:r>
      <w:r w:rsidR="005A0437" w:rsidRPr="006002D1">
        <w:rPr>
          <w:szCs w:val="21"/>
        </w:rPr>
        <w:t>支付给</w:t>
      </w:r>
      <w:r w:rsidR="005A0437" w:rsidRPr="006002D1">
        <w:rPr>
          <w:rFonts w:hint="eastAsia"/>
          <w:szCs w:val="21"/>
        </w:rPr>
        <w:t>产品投资人</w:t>
      </w:r>
      <w:r w:rsidR="005A0437" w:rsidRPr="006002D1">
        <w:rPr>
          <w:szCs w:val="21"/>
        </w:rPr>
        <w:t>。</w:t>
      </w:r>
      <w:r w:rsidR="001D0FE1" w:rsidRPr="006002D1">
        <w:rPr>
          <w:rFonts w:hint="eastAsia"/>
          <w:szCs w:val="21"/>
        </w:rPr>
        <w:t>产品清算日至产品兑付日期间的银行存款利息作为产品管理费</w:t>
      </w:r>
      <w:r w:rsidR="004210E3">
        <w:rPr>
          <w:rFonts w:hint="eastAsia"/>
          <w:szCs w:val="21"/>
        </w:rPr>
        <w:t>。</w:t>
      </w:r>
      <w:r w:rsidR="00C649A6" w:rsidRPr="006002D1">
        <w:rPr>
          <w:szCs w:val="21"/>
        </w:rPr>
        <w:t>若委托资产后续清算，出现账面剩余资产不足以支付相关负债的情况，</w:t>
      </w:r>
      <w:r w:rsidR="00C649A6" w:rsidRPr="006002D1">
        <w:rPr>
          <w:rFonts w:hint="eastAsia"/>
          <w:szCs w:val="21"/>
        </w:rPr>
        <w:t>本产品</w:t>
      </w:r>
      <w:r w:rsidR="005A0437" w:rsidRPr="006002D1">
        <w:rPr>
          <w:rFonts w:hint="eastAsia"/>
          <w:szCs w:val="21"/>
        </w:rPr>
        <w:t>投资人</w:t>
      </w:r>
      <w:r w:rsidR="005A0437" w:rsidRPr="006002D1">
        <w:rPr>
          <w:szCs w:val="21"/>
        </w:rPr>
        <w:t>有义务于收到产品管理人、产品托管人联合发出的收款通知后当日内将款项补足。</w:t>
      </w:r>
      <w:bookmarkStart w:id="4" w:name="_GoBack"/>
      <w:bookmarkEnd w:id="4"/>
    </w:p>
    <w:p w:rsidR="005A0437" w:rsidRPr="006002D1" w:rsidRDefault="00FA54D4" w:rsidP="00FA54D4">
      <w:pPr>
        <w:spacing w:line="360" w:lineRule="auto"/>
        <w:ind w:firstLine="420"/>
        <w:rPr>
          <w:b/>
          <w:szCs w:val="21"/>
        </w:rPr>
      </w:pPr>
      <w:r w:rsidRPr="006002D1">
        <w:rPr>
          <w:rFonts w:hint="eastAsia"/>
          <w:b/>
          <w:szCs w:val="21"/>
        </w:rPr>
        <w:t>四、</w:t>
      </w:r>
      <w:r w:rsidR="005A0437" w:rsidRPr="006002D1">
        <w:rPr>
          <w:b/>
          <w:szCs w:val="21"/>
        </w:rPr>
        <w:t>其他事项</w:t>
      </w:r>
    </w:p>
    <w:p w:rsidR="005A0437" w:rsidRPr="006002D1" w:rsidRDefault="005A0437" w:rsidP="008C2AAB">
      <w:pPr>
        <w:spacing w:line="360" w:lineRule="auto"/>
        <w:ind w:firstLineChars="200" w:firstLine="420"/>
        <w:rPr>
          <w:szCs w:val="21"/>
        </w:rPr>
      </w:pPr>
      <w:r w:rsidRPr="006002D1">
        <w:rPr>
          <w:rFonts w:hint="eastAsia"/>
          <w:szCs w:val="21"/>
        </w:rPr>
        <w:t>1</w:t>
      </w:r>
      <w:r w:rsidRPr="006002D1">
        <w:rPr>
          <w:rFonts w:hint="eastAsia"/>
          <w:szCs w:val="21"/>
        </w:rPr>
        <w:t>、本报告由产品管理人编制，产品托管人复核，未经审计。</w:t>
      </w:r>
    </w:p>
    <w:p w:rsidR="005A0437" w:rsidRPr="006002D1" w:rsidRDefault="005A0437" w:rsidP="008C2AAB">
      <w:pPr>
        <w:spacing w:line="360" w:lineRule="auto"/>
        <w:ind w:firstLineChars="200" w:firstLine="420"/>
        <w:rPr>
          <w:szCs w:val="21"/>
        </w:rPr>
      </w:pPr>
      <w:r w:rsidRPr="006002D1">
        <w:rPr>
          <w:rFonts w:hint="eastAsia"/>
          <w:szCs w:val="21"/>
        </w:rPr>
        <w:t>2</w:t>
      </w:r>
      <w:r w:rsidRPr="006002D1">
        <w:rPr>
          <w:rFonts w:hint="eastAsia"/>
          <w:szCs w:val="21"/>
        </w:rPr>
        <w:t>、按照本产品说明书约定，对于产品投资人承担的所得税，产品管理人不承担代扣代缴或纳税的义务，产品投资人应按国家有关规定自行缴纳。</w:t>
      </w:r>
    </w:p>
    <w:p w:rsidR="005A0437" w:rsidRPr="006002D1" w:rsidRDefault="005A0437" w:rsidP="008C2AAB">
      <w:pPr>
        <w:spacing w:line="360" w:lineRule="auto"/>
        <w:ind w:firstLineChars="200" w:firstLine="420"/>
        <w:rPr>
          <w:szCs w:val="21"/>
        </w:rPr>
      </w:pPr>
      <w:r w:rsidRPr="006002D1">
        <w:rPr>
          <w:rFonts w:hint="eastAsia"/>
          <w:szCs w:val="21"/>
        </w:rPr>
        <w:t>3</w:t>
      </w:r>
      <w:r w:rsidRPr="006002D1">
        <w:rPr>
          <w:rFonts w:hint="eastAsia"/>
          <w:szCs w:val="21"/>
        </w:rPr>
        <w:t>、投资人可以通过销售机构查阅清算报告的信息，产品管理人向销售机构提供清算报告视为履行了告知义务。</w:t>
      </w:r>
    </w:p>
    <w:p w:rsidR="00D31F59" w:rsidRDefault="00D31F59" w:rsidP="005336DA">
      <w:pPr>
        <w:spacing w:line="360" w:lineRule="auto"/>
        <w:ind w:firstLineChars="200" w:firstLine="420"/>
        <w:jc w:val="right"/>
        <w:rPr>
          <w:szCs w:val="21"/>
        </w:rPr>
      </w:pPr>
    </w:p>
    <w:p w:rsidR="00D31F59" w:rsidRDefault="00D31F59" w:rsidP="005336DA">
      <w:pPr>
        <w:spacing w:line="360" w:lineRule="auto"/>
        <w:ind w:firstLineChars="200" w:firstLine="420"/>
        <w:jc w:val="right"/>
        <w:rPr>
          <w:szCs w:val="21"/>
        </w:rPr>
        <w:sectPr w:rsidR="00D31F59" w:rsidSect="005A0437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31F59" w:rsidRDefault="005A0437" w:rsidP="00D31F59">
      <w:pPr>
        <w:spacing w:line="360" w:lineRule="auto"/>
        <w:ind w:leftChars="201" w:left="422" w:firstLineChars="202" w:firstLine="424"/>
        <w:jc w:val="left"/>
        <w:rPr>
          <w:szCs w:val="21"/>
        </w:rPr>
      </w:pPr>
      <w:r w:rsidRPr="006002D1">
        <w:rPr>
          <w:szCs w:val="21"/>
        </w:rPr>
        <w:lastRenderedPageBreak/>
        <w:t>产品管理人：</w:t>
      </w:r>
    </w:p>
    <w:p w:rsidR="005A0437" w:rsidRPr="006002D1" w:rsidRDefault="005A0437" w:rsidP="00D31F59">
      <w:pPr>
        <w:spacing w:line="360" w:lineRule="auto"/>
        <w:ind w:firstLineChars="350" w:firstLine="735"/>
        <w:jc w:val="left"/>
        <w:rPr>
          <w:szCs w:val="21"/>
        </w:rPr>
      </w:pPr>
      <w:r w:rsidRPr="006002D1">
        <w:rPr>
          <w:rFonts w:hint="eastAsia"/>
          <w:szCs w:val="21"/>
        </w:rPr>
        <w:t>中国建设银行股份有限公司</w:t>
      </w:r>
    </w:p>
    <w:p w:rsidR="005A0437" w:rsidRPr="006002D1" w:rsidRDefault="005A6B54" w:rsidP="00D31F59">
      <w:pPr>
        <w:spacing w:line="360" w:lineRule="auto"/>
        <w:ind w:firstLineChars="450" w:firstLine="945"/>
        <w:jc w:val="left"/>
        <w:rPr>
          <w:szCs w:val="21"/>
        </w:rPr>
      </w:pPr>
      <w:r w:rsidRPr="006002D1">
        <w:rPr>
          <w:rFonts w:hint="eastAsia"/>
          <w:szCs w:val="21"/>
        </w:rPr>
        <w:t>2018</w:t>
      </w:r>
      <w:r w:rsidR="005A0437" w:rsidRPr="006002D1">
        <w:rPr>
          <w:rFonts w:hint="eastAsia"/>
          <w:szCs w:val="21"/>
        </w:rPr>
        <w:t>年</w:t>
      </w:r>
      <w:r w:rsidRPr="006002D1">
        <w:rPr>
          <w:rFonts w:hint="eastAsia"/>
          <w:szCs w:val="21"/>
        </w:rPr>
        <w:t>9</w:t>
      </w:r>
      <w:r w:rsidR="005A0437" w:rsidRPr="006002D1">
        <w:rPr>
          <w:rFonts w:hint="eastAsia"/>
          <w:szCs w:val="21"/>
        </w:rPr>
        <w:t>月</w:t>
      </w:r>
      <w:r w:rsidRPr="006002D1">
        <w:rPr>
          <w:rFonts w:hint="eastAsia"/>
          <w:szCs w:val="21"/>
        </w:rPr>
        <w:t>2</w:t>
      </w:r>
      <w:r w:rsidR="003E6D2A">
        <w:rPr>
          <w:rFonts w:hint="eastAsia"/>
          <w:szCs w:val="21"/>
        </w:rPr>
        <w:t>5</w:t>
      </w:r>
      <w:r w:rsidR="005A0437" w:rsidRPr="006002D1">
        <w:rPr>
          <w:rFonts w:hint="eastAsia"/>
          <w:szCs w:val="21"/>
        </w:rPr>
        <w:t>日</w:t>
      </w:r>
    </w:p>
    <w:p w:rsidR="005A0437" w:rsidRDefault="005A0437" w:rsidP="00D31F59">
      <w:pPr>
        <w:spacing w:line="360" w:lineRule="auto"/>
        <w:jc w:val="left"/>
        <w:rPr>
          <w:szCs w:val="21"/>
        </w:rPr>
      </w:pPr>
    </w:p>
    <w:p w:rsidR="00D31F59" w:rsidRDefault="005A0437" w:rsidP="00D31F59">
      <w:pPr>
        <w:spacing w:line="360" w:lineRule="auto"/>
        <w:ind w:firstLineChars="400" w:firstLine="840"/>
        <w:jc w:val="left"/>
        <w:rPr>
          <w:szCs w:val="21"/>
        </w:rPr>
      </w:pPr>
      <w:r w:rsidRPr="006002D1">
        <w:rPr>
          <w:szCs w:val="21"/>
        </w:rPr>
        <w:lastRenderedPageBreak/>
        <w:t>产品托管人：</w:t>
      </w:r>
    </w:p>
    <w:p w:rsidR="005A0437" w:rsidRPr="006002D1" w:rsidRDefault="005A0437" w:rsidP="00D31F59">
      <w:pPr>
        <w:spacing w:line="360" w:lineRule="auto"/>
        <w:ind w:firstLineChars="400" w:firstLine="840"/>
        <w:jc w:val="left"/>
        <w:rPr>
          <w:szCs w:val="21"/>
        </w:rPr>
      </w:pPr>
      <w:r w:rsidRPr="006002D1">
        <w:rPr>
          <w:rFonts w:hint="eastAsia"/>
          <w:szCs w:val="21"/>
        </w:rPr>
        <w:t>中国建设银行股份有限公司陕西省</w:t>
      </w:r>
      <w:r w:rsidRPr="006002D1">
        <w:rPr>
          <w:szCs w:val="21"/>
        </w:rPr>
        <w:t>分行</w:t>
      </w:r>
    </w:p>
    <w:p w:rsidR="00992DB3" w:rsidRPr="006002D1" w:rsidRDefault="005A6B54" w:rsidP="00D31F59">
      <w:pPr>
        <w:spacing w:line="360" w:lineRule="auto"/>
        <w:ind w:firstLineChars="450" w:firstLine="945"/>
        <w:jc w:val="left"/>
        <w:rPr>
          <w:szCs w:val="21"/>
        </w:rPr>
      </w:pPr>
      <w:r w:rsidRPr="006002D1">
        <w:rPr>
          <w:rFonts w:hint="eastAsia"/>
          <w:szCs w:val="21"/>
        </w:rPr>
        <w:t>2018</w:t>
      </w:r>
      <w:r w:rsidRPr="006002D1">
        <w:rPr>
          <w:rFonts w:hint="eastAsia"/>
          <w:szCs w:val="21"/>
        </w:rPr>
        <w:t>年</w:t>
      </w:r>
      <w:r w:rsidRPr="006002D1">
        <w:rPr>
          <w:rFonts w:hint="eastAsia"/>
          <w:szCs w:val="21"/>
        </w:rPr>
        <w:t>9</w:t>
      </w:r>
      <w:r w:rsidRPr="006002D1">
        <w:rPr>
          <w:rFonts w:hint="eastAsia"/>
          <w:szCs w:val="21"/>
        </w:rPr>
        <w:t>月</w:t>
      </w:r>
      <w:r w:rsidRPr="006002D1">
        <w:rPr>
          <w:rFonts w:hint="eastAsia"/>
          <w:szCs w:val="21"/>
        </w:rPr>
        <w:t>2</w:t>
      </w:r>
      <w:r w:rsidR="003E6D2A">
        <w:rPr>
          <w:rFonts w:hint="eastAsia"/>
          <w:szCs w:val="21"/>
        </w:rPr>
        <w:t>5</w:t>
      </w:r>
      <w:r w:rsidRPr="006002D1">
        <w:rPr>
          <w:rFonts w:hint="eastAsia"/>
          <w:szCs w:val="21"/>
        </w:rPr>
        <w:t>日</w:t>
      </w:r>
    </w:p>
    <w:sectPr w:rsidR="00992DB3" w:rsidRPr="006002D1" w:rsidSect="00D31F59">
      <w:type w:val="continuous"/>
      <w:pgSz w:w="11906" w:h="16838"/>
      <w:pgMar w:top="1440" w:right="1800" w:bottom="1440" w:left="851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64" w:rsidRDefault="00DE6A64" w:rsidP="00445BA1">
      <w:r>
        <w:separator/>
      </w:r>
    </w:p>
  </w:endnote>
  <w:endnote w:type="continuationSeparator" w:id="0">
    <w:p w:rsidR="00DE6A64" w:rsidRDefault="00DE6A64" w:rsidP="0044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685052"/>
      <w:docPartObj>
        <w:docPartGallery w:val="Page Numbers (Bottom of Page)"/>
        <w:docPartUnique/>
      </w:docPartObj>
    </w:sdtPr>
    <w:sdtEndPr/>
    <w:sdtContent>
      <w:p w:rsidR="00311783" w:rsidRDefault="003117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7DE" w:rsidRPr="00A237DE">
          <w:rPr>
            <w:noProof/>
            <w:lang w:val="zh-CN"/>
          </w:rPr>
          <w:t>2</w:t>
        </w:r>
        <w:r>
          <w:fldChar w:fldCharType="end"/>
        </w:r>
      </w:p>
    </w:sdtContent>
  </w:sdt>
  <w:p w:rsidR="008C2AAB" w:rsidRDefault="008C2AAB" w:rsidP="00DD021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64" w:rsidRDefault="00DE6A64" w:rsidP="00445BA1">
      <w:r>
        <w:separator/>
      </w:r>
    </w:p>
  </w:footnote>
  <w:footnote w:type="continuationSeparator" w:id="0">
    <w:p w:rsidR="00DE6A64" w:rsidRDefault="00DE6A64" w:rsidP="0044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858"/>
    <w:multiLevelType w:val="hybridMultilevel"/>
    <w:tmpl w:val="804C7C82"/>
    <w:lvl w:ilvl="0" w:tplc="5E6CD99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EE68C0"/>
    <w:multiLevelType w:val="hybridMultilevel"/>
    <w:tmpl w:val="B45E1730"/>
    <w:lvl w:ilvl="0" w:tplc="933CD916">
      <w:start w:val="1"/>
      <w:numFmt w:val="japaneseCounting"/>
      <w:lvlText w:val="第%1节"/>
      <w:lvlJc w:val="left"/>
      <w:pPr>
        <w:ind w:left="1267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166F9"/>
    <w:multiLevelType w:val="hybridMultilevel"/>
    <w:tmpl w:val="E5BE5654"/>
    <w:lvl w:ilvl="0" w:tplc="26A611EA">
      <w:start w:val="1"/>
      <w:numFmt w:val="chineseCountingThousand"/>
      <w:lvlText w:val="%1、"/>
      <w:lvlJc w:val="left"/>
      <w:pPr>
        <w:tabs>
          <w:tab w:val="num" w:pos="975"/>
        </w:tabs>
        <w:ind w:left="975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3">
    <w:nsid w:val="3137464F"/>
    <w:multiLevelType w:val="hybridMultilevel"/>
    <w:tmpl w:val="F43E7D00"/>
    <w:lvl w:ilvl="0" w:tplc="53B0D7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7F54CE5"/>
    <w:multiLevelType w:val="hybridMultilevel"/>
    <w:tmpl w:val="64E064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C9002CE"/>
    <w:multiLevelType w:val="hybridMultilevel"/>
    <w:tmpl w:val="66403326"/>
    <w:lvl w:ilvl="0" w:tplc="148A44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C65297"/>
    <w:multiLevelType w:val="hybridMultilevel"/>
    <w:tmpl w:val="8422B60C"/>
    <w:lvl w:ilvl="0" w:tplc="53B0D7B6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91" w:hanging="420"/>
      </w:pPr>
    </w:lvl>
    <w:lvl w:ilvl="2" w:tplc="0409001B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7">
    <w:nsid w:val="52277BD9"/>
    <w:multiLevelType w:val="hybridMultilevel"/>
    <w:tmpl w:val="D66EB332"/>
    <w:lvl w:ilvl="0" w:tplc="EAB01F94">
      <w:start w:val="1"/>
      <w:numFmt w:val="japaneseCounting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8B2C70"/>
    <w:multiLevelType w:val="hybridMultilevel"/>
    <w:tmpl w:val="AB8EE6C0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5B260BA8"/>
    <w:multiLevelType w:val="hybridMultilevel"/>
    <w:tmpl w:val="1B8E68FC"/>
    <w:lvl w:ilvl="0" w:tplc="0794F246">
      <w:start w:val="3"/>
      <w:numFmt w:val="japaneseCounting"/>
      <w:lvlText w:val="%1、"/>
      <w:lvlJc w:val="left"/>
      <w:pPr>
        <w:ind w:left="1155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0">
    <w:nsid w:val="5C8108E0"/>
    <w:multiLevelType w:val="hybridMultilevel"/>
    <w:tmpl w:val="29343922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D133FF"/>
    <w:multiLevelType w:val="hybridMultilevel"/>
    <w:tmpl w:val="E8C691FE"/>
    <w:lvl w:ilvl="0" w:tplc="53B0D7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B821A4D"/>
    <w:multiLevelType w:val="hybridMultilevel"/>
    <w:tmpl w:val="BDE805BC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6DCA3085"/>
    <w:multiLevelType w:val="hybridMultilevel"/>
    <w:tmpl w:val="167E54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2E92124"/>
    <w:multiLevelType w:val="hybridMultilevel"/>
    <w:tmpl w:val="F99C59B6"/>
    <w:lvl w:ilvl="0" w:tplc="2F58A4E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D21296F"/>
    <w:multiLevelType w:val="hybridMultilevel"/>
    <w:tmpl w:val="E9AABBBA"/>
    <w:lvl w:ilvl="0" w:tplc="851051B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7936A74E">
      <w:start w:val="1"/>
      <w:numFmt w:val="decimal"/>
      <w:lvlText w:val="%2．"/>
      <w:lvlJc w:val="left"/>
      <w:pPr>
        <w:ind w:left="123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FDB59BE"/>
    <w:multiLevelType w:val="hybridMultilevel"/>
    <w:tmpl w:val="EAB0117E"/>
    <w:lvl w:ilvl="0" w:tplc="0A06E4B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"/>
  </w:num>
  <w:num w:numId="5">
    <w:abstractNumId w:val="15"/>
  </w:num>
  <w:num w:numId="6">
    <w:abstractNumId w:val="5"/>
  </w:num>
  <w:num w:numId="7">
    <w:abstractNumId w:val="12"/>
  </w:num>
  <w:num w:numId="8">
    <w:abstractNumId w:val="4"/>
  </w:num>
  <w:num w:numId="9">
    <w:abstractNumId w:val="13"/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10"/>
  </w:num>
  <w:num w:numId="15">
    <w:abstractNumId w:val="7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AA"/>
    <w:rsid w:val="00011C93"/>
    <w:rsid w:val="00032FD0"/>
    <w:rsid w:val="000A4F73"/>
    <w:rsid w:val="000C16EA"/>
    <w:rsid w:val="000C4BB9"/>
    <w:rsid w:val="0018287B"/>
    <w:rsid w:val="00187A58"/>
    <w:rsid w:val="001D0ACD"/>
    <w:rsid w:val="001D0FE1"/>
    <w:rsid w:val="001E7E5C"/>
    <w:rsid w:val="00241270"/>
    <w:rsid w:val="0025075C"/>
    <w:rsid w:val="00291D53"/>
    <w:rsid w:val="00294D70"/>
    <w:rsid w:val="002A4BAF"/>
    <w:rsid w:val="002D5E1F"/>
    <w:rsid w:val="00311783"/>
    <w:rsid w:val="0037599E"/>
    <w:rsid w:val="003B37F8"/>
    <w:rsid w:val="003E6D2A"/>
    <w:rsid w:val="004041E9"/>
    <w:rsid w:val="004210E3"/>
    <w:rsid w:val="00445BA1"/>
    <w:rsid w:val="004742EC"/>
    <w:rsid w:val="00484E14"/>
    <w:rsid w:val="00493366"/>
    <w:rsid w:val="005336DA"/>
    <w:rsid w:val="005A0437"/>
    <w:rsid w:val="005A6B54"/>
    <w:rsid w:val="006002D1"/>
    <w:rsid w:val="00623C90"/>
    <w:rsid w:val="006C1B8E"/>
    <w:rsid w:val="006F53EB"/>
    <w:rsid w:val="00750D1B"/>
    <w:rsid w:val="007613FD"/>
    <w:rsid w:val="00790B7B"/>
    <w:rsid w:val="00794BBC"/>
    <w:rsid w:val="00817A3B"/>
    <w:rsid w:val="00833387"/>
    <w:rsid w:val="00840760"/>
    <w:rsid w:val="00871E88"/>
    <w:rsid w:val="008B1312"/>
    <w:rsid w:val="008C2AAB"/>
    <w:rsid w:val="008E2BF6"/>
    <w:rsid w:val="008F6716"/>
    <w:rsid w:val="00912345"/>
    <w:rsid w:val="00924726"/>
    <w:rsid w:val="00951B10"/>
    <w:rsid w:val="00956DE7"/>
    <w:rsid w:val="00961DEE"/>
    <w:rsid w:val="009639FD"/>
    <w:rsid w:val="0097045C"/>
    <w:rsid w:val="00980FAA"/>
    <w:rsid w:val="00992DB3"/>
    <w:rsid w:val="009A1D7A"/>
    <w:rsid w:val="00A237DE"/>
    <w:rsid w:val="00A378D8"/>
    <w:rsid w:val="00A626B2"/>
    <w:rsid w:val="00AC1201"/>
    <w:rsid w:val="00AD0948"/>
    <w:rsid w:val="00B54763"/>
    <w:rsid w:val="00B97998"/>
    <w:rsid w:val="00BD7D79"/>
    <w:rsid w:val="00C649A6"/>
    <w:rsid w:val="00CC1F05"/>
    <w:rsid w:val="00D31F59"/>
    <w:rsid w:val="00D33A44"/>
    <w:rsid w:val="00D70A10"/>
    <w:rsid w:val="00DD021E"/>
    <w:rsid w:val="00DE6A64"/>
    <w:rsid w:val="00E03FEC"/>
    <w:rsid w:val="00F3465F"/>
    <w:rsid w:val="00F94536"/>
    <w:rsid w:val="00FA54D4"/>
    <w:rsid w:val="00F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45BA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5BA1"/>
    <w:rPr>
      <w:b/>
      <w:bCs/>
      <w:kern w:val="44"/>
      <w:sz w:val="44"/>
      <w:szCs w:val="44"/>
    </w:rPr>
  </w:style>
  <w:style w:type="paragraph" w:customStyle="1" w:styleId="Char1CharChar">
    <w:name w:val="Char1 Char Char"/>
    <w:basedOn w:val="a"/>
    <w:rsid w:val="00445BA1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Char"/>
    <w:rsid w:val="00445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5B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45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BA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45BA1"/>
  </w:style>
  <w:style w:type="character" w:customStyle="1" w:styleId="Char1">
    <w:name w:val="批注文字 Char"/>
    <w:basedOn w:val="a0"/>
    <w:link w:val="a6"/>
    <w:semiHidden/>
    <w:rsid w:val="00445BA1"/>
    <w:rPr>
      <w:rFonts w:ascii="Times New Roman" w:eastAsia="宋体" w:hAnsi="Times New Roman" w:cs="Times New Roman"/>
      <w:szCs w:val="24"/>
    </w:rPr>
  </w:style>
  <w:style w:type="paragraph" w:styleId="a6">
    <w:name w:val="annotation text"/>
    <w:basedOn w:val="a"/>
    <w:link w:val="Char1"/>
    <w:semiHidden/>
    <w:rsid w:val="00445BA1"/>
    <w:pPr>
      <w:jc w:val="left"/>
    </w:pPr>
  </w:style>
  <w:style w:type="character" w:customStyle="1" w:styleId="Char2">
    <w:name w:val="批注主题 Char"/>
    <w:basedOn w:val="Char1"/>
    <w:link w:val="a7"/>
    <w:semiHidden/>
    <w:rsid w:val="00445BA1"/>
    <w:rPr>
      <w:rFonts w:ascii="Times New Roman" w:eastAsia="宋体" w:hAnsi="Times New Roman" w:cs="Times New Roman"/>
      <w:b/>
      <w:bCs/>
      <w:szCs w:val="24"/>
    </w:rPr>
  </w:style>
  <w:style w:type="paragraph" w:styleId="a7">
    <w:name w:val="annotation subject"/>
    <w:basedOn w:val="a6"/>
    <w:next w:val="a6"/>
    <w:link w:val="Char2"/>
    <w:semiHidden/>
    <w:rsid w:val="00445BA1"/>
    <w:rPr>
      <w:b/>
      <w:bCs/>
    </w:rPr>
  </w:style>
  <w:style w:type="character" w:customStyle="1" w:styleId="Char3">
    <w:name w:val="批注框文本 Char"/>
    <w:basedOn w:val="a0"/>
    <w:link w:val="a8"/>
    <w:semiHidden/>
    <w:rsid w:val="00445BA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semiHidden/>
    <w:rsid w:val="00445BA1"/>
    <w:rPr>
      <w:sz w:val="18"/>
      <w:szCs w:val="18"/>
    </w:rPr>
  </w:style>
  <w:style w:type="paragraph" w:customStyle="1" w:styleId="Char4">
    <w:name w:val="Char"/>
    <w:basedOn w:val="a"/>
    <w:rsid w:val="00445BA1"/>
  </w:style>
  <w:style w:type="paragraph" w:styleId="a9">
    <w:name w:val="footnote text"/>
    <w:basedOn w:val="a"/>
    <w:link w:val="Char5"/>
    <w:rsid w:val="00445BA1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9"/>
    <w:rsid w:val="00445BA1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rsid w:val="00445BA1"/>
    <w:rPr>
      <w:vertAlign w:val="superscript"/>
    </w:rPr>
  </w:style>
  <w:style w:type="paragraph" w:styleId="ab">
    <w:name w:val="Date"/>
    <w:basedOn w:val="a"/>
    <w:next w:val="a"/>
    <w:link w:val="Char6"/>
    <w:rsid w:val="00445BA1"/>
    <w:pPr>
      <w:ind w:leftChars="2500" w:left="100"/>
    </w:pPr>
  </w:style>
  <w:style w:type="character" w:customStyle="1" w:styleId="Char6">
    <w:name w:val="日期 Char"/>
    <w:basedOn w:val="a0"/>
    <w:link w:val="ab"/>
    <w:rsid w:val="00445BA1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445BA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d">
    <w:name w:val="Hyperlink"/>
    <w:basedOn w:val="a0"/>
    <w:uiPriority w:val="99"/>
    <w:unhideWhenUsed/>
    <w:rsid w:val="00445BA1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445BA1"/>
    <w:rPr>
      <w:color w:val="800080"/>
      <w:u w:val="single"/>
    </w:rPr>
  </w:style>
  <w:style w:type="paragraph" w:customStyle="1" w:styleId="xl63">
    <w:name w:val="xl63"/>
    <w:basedOn w:val="a"/>
    <w:rsid w:val="00445BA1"/>
    <w:pPr>
      <w:widowControl/>
      <w:pBdr>
        <w:top w:val="double" w:sz="6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4">
    <w:name w:val="xl64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65">
    <w:name w:val="xl65"/>
    <w:basedOn w:val="a"/>
    <w:rsid w:val="00445BA1"/>
    <w:pPr>
      <w:widowControl/>
      <w:pBdr>
        <w:top w:val="single" w:sz="4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67">
    <w:name w:val="xl67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0">
    <w:name w:val="xl70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4">
    <w:name w:val="xl74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6">
    <w:name w:val="xl76"/>
    <w:basedOn w:val="a"/>
    <w:rsid w:val="00445BA1"/>
    <w:pPr>
      <w:widowControl/>
      <w:pBdr>
        <w:top w:val="double" w:sz="6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7">
    <w:name w:val="xl77"/>
    <w:basedOn w:val="a"/>
    <w:rsid w:val="00445BA1"/>
    <w:pPr>
      <w:widowControl/>
      <w:pBdr>
        <w:top w:val="single" w:sz="4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8">
    <w:name w:val="xl78"/>
    <w:basedOn w:val="a"/>
    <w:rsid w:val="00445BA1"/>
    <w:pPr>
      <w:widowControl/>
      <w:pBdr>
        <w:top w:val="single" w:sz="4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445B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Default">
    <w:name w:val="Default"/>
    <w:rsid w:val="00445BA1"/>
    <w:pPr>
      <w:widowControl w:val="0"/>
      <w:autoSpaceDE w:val="0"/>
      <w:autoSpaceDN w:val="0"/>
      <w:adjustRightInd w:val="0"/>
    </w:pPr>
    <w:rPr>
      <w:rFonts w:ascii="楷体_GB2312" w:eastAsia="宋体" w:hAnsi="楷体_GB2312" w:cs="楷体_GB2312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FF0000"/>
      <w:kern w:val="0"/>
      <w:sz w:val="24"/>
    </w:rPr>
  </w:style>
  <w:style w:type="paragraph" w:customStyle="1" w:styleId="xl80">
    <w:name w:val="xl80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81">
    <w:name w:val="xl81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2">
    <w:name w:val="xl82"/>
    <w:basedOn w:val="a"/>
    <w:rsid w:val="00445BA1"/>
    <w:pPr>
      <w:widowControl/>
      <w:pBdr>
        <w:top w:val="double" w:sz="6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3">
    <w:name w:val="xl83"/>
    <w:basedOn w:val="a"/>
    <w:rsid w:val="00445BA1"/>
    <w:pPr>
      <w:widowControl/>
      <w:pBdr>
        <w:top w:val="single" w:sz="4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4">
    <w:name w:val="xl84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b/>
      <w:bCs/>
      <w:color w:val="000000"/>
      <w:kern w:val="0"/>
      <w:sz w:val="24"/>
    </w:rPr>
  </w:style>
  <w:style w:type="character" w:customStyle="1" w:styleId="im-content1">
    <w:name w:val="im-content1"/>
    <w:basedOn w:val="a0"/>
    <w:rsid w:val="000C4BB9"/>
    <w:rPr>
      <w:vanish w:val="0"/>
      <w:webHidden w:val="0"/>
      <w:color w:val="333333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45BA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5BA1"/>
    <w:rPr>
      <w:b/>
      <w:bCs/>
      <w:kern w:val="44"/>
      <w:sz w:val="44"/>
      <w:szCs w:val="44"/>
    </w:rPr>
  </w:style>
  <w:style w:type="paragraph" w:customStyle="1" w:styleId="Char1CharChar">
    <w:name w:val="Char1 Char Char"/>
    <w:basedOn w:val="a"/>
    <w:rsid w:val="00445BA1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Char"/>
    <w:rsid w:val="00445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5B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45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BA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45BA1"/>
  </w:style>
  <w:style w:type="character" w:customStyle="1" w:styleId="Char1">
    <w:name w:val="批注文字 Char"/>
    <w:basedOn w:val="a0"/>
    <w:link w:val="a6"/>
    <w:semiHidden/>
    <w:rsid w:val="00445BA1"/>
    <w:rPr>
      <w:rFonts w:ascii="Times New Roman" w:eastAsia="宋体" w:hAnsi="Times New Roman" w:cs="Times New Roman"/>
      <w:szCs w:val="24"/>
    </w:rPr>
  </w:style>
  <w:style w:type="paragraph" w:styleId="a6">
    <w:name w:val="annotation text"/>
    <w:basedOn w:val="a"/>
    <w:link w:val="Char1"/>
    <w:semiHidden/>
    <w:rsid w:val="00445BA1"/>
    <w:pPr>
      <w:jc w:val="left"/>
    </w:pPr>
  </w:style>
  <w:style w:type="character" w:customStyle="1" w:styleId="Char2">
    <w:name w:val="批注主题 Char"/>
    <w:basedOn w:val="Char1"/>
    <w:link w:val="a7"/>
    <w:semiHidden/>
    <w:rsid w:val="00445BA1"/>
    <w:rPr>
      <w:rFonts w:ascii="Times New Roman" w:eastAsia="宋体" w:hAnsi="Times New Roman" w:cs="Times New Roman"/>
      <w:b/>
      <w:bCs/>
      <w:szCs w:val="24"/>
    </w:rPr>
  </w:style>
  <w:style w:type="paragraph" w:styleId="a7">
    <w:name w:val="annotation subject"/>
    <w:basedOn w:val="a6"/>
    <w:next w:val="a6"/>
    <w:link w:val="Char2"/>
    <w:semiHidden/>
    <w:rsid w:val="00445BA1"/>
    <w:rPr>
      <w:b/>
      <w:bCs/>
    </w:rPr>
  </w:style>
  <w:style w:type="character" w:customStyle="1" w:styleId="Char3">
    <w:name w:val="批注框文本 Char"/>
    <w:basedOn w:val="a0"/>
    <w:link w:val="a8"/>
    <w:semiHidden/>
    <w:rsid w:val="00445BA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semiHidden/>
    <w:rsid w:val="00445BA1"/>
    <w:rPr>
      <w:sz w:val="18"/>
      <w:szCs w:val="18"/>
    </w:rPr>
  </w:style>
  <w:style w:type="paragraph" w:customStyle="1" w:styleId="Char4">
    <w:name w:val="Char"/>
    <w:basedOn w:val="a"/>
    <w:rsid w:val="00445BA1"/>
  </w:style>
  <w:style w:type="paragraph" w:styleId="a9">
    <w:name w:val="footnote text"/>
    <w:basedOn w:val="a"/>
    <w:link w:val="Char5"/>
    <w:rsid w:val="00445BA1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9"/>
    <w:rsid w:val="00445BA1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rsid w:val="00445BA1"/>
    <w:rPr>
      <w:vertAlign w:val="superscript"/>
    </w:rPr>
  </w:style>
  <w:style w:type="paragraph" w:styleId="ab">
    <w:name w:val="Date"/>
    <w:basedOn w:val="a"/>
    <w:next w:val="a"/>
    <w:link w:val="Char6"/>
    <w:rsid w:val="00445BA1"/>
    <w:pPr>
      <w:ind w:leftChars="2500" w:left="100"/>
    </w:pPr>
  </w:style>
  <w:style w:type="character" w:customStyle="1" w:styleId="Char6">
    <w:name w:val="日期 Char"/>
    <w:basedOn w:val="a0"/>
    <w:link w:val="ab"/>
    <w:rsid w:val="00445BA1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445BA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d">
    <w:name w:val="Hyperlink"/>
    <w:basedOn w:val="a0"/>
    <w:uiPriority w:val="99"/>
    <w:unhideWhenUsed/>
    <w:rsid w:val="00445BA1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445BA1"/>
    <w:rPr>
      <w:color w:val="800080"/>
      <w:u w:val="single"/>
    </w:rPr>
  </w:style>
  <w:style w:type="paragraph" w:customStyle="1" w:styleId="xl63">
    <w:name w:val="xl63"/>
    <w:basedOn w:val="a"/>
    <w:rsid w:val="00445BA1"/>
    <w:pPr>
      <w:widowControl/>
      <w:pBdr>
        <w:top w:val="double" w:sz="6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4">
    <w:name w:val="xl64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65">
    <w:name w:val="xl65"/>
    <w:basedOn w:val="a"/>
    <w:rsid w:val="00445BA1"/>
    <w:pPr>
      <w:widowControl/>
      <w:pBdr>
        <w:top w:val="single" w:sz="4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67">
    <w:name w:val="xl67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0">
    <w:name w:val="xl70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4">
    <w:name w:val="xl74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6">
    <w:name w:val="xl76"/>
    <w:basedOn w:val="a"/>
    <w:rsid w:val="00445BA1"/>
    <w:pPr>
      <w:widowControl/>
      <w:pBdr>
        <w:top w:val="double" w:sz="6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7">
    <w:name w:val="xl77"/>
    <w:basedOn w:val="a"/>
    <w:rsid w:val="00445BA1"/>
    <w:pPr>
      <w:widowControl/>
      <w:pBdr>
        <w:top w:val="single" w:sz="4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8">
    <w:name w:val="xl78"/>
    <w:basedOn w:val="a"/>
    <w:rsid w:val="00445BA1"/>
    <w:pPr>
      <w:widowControl/>
      <w:pBdr>
        <w:top w:val="single" w:sz="4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445B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Default">
    <w:name w:val="Default"/>
    <w:rsid w:val="00445BA1"/>
    <w:pPr>
      <w:widowControl w:val="0"/>
      <w:autoSpaceDE w:val="0"/>
      <w:autoSpaceDN w:val="0"/>
      <w:adjustRightInd w:val="0"/>
    </w:pPr>
    <w:rPr>
      <w:rFonts w:ascii="楷体_GB2312" w:eastAsia="宋体" w:hAnsi="楷体_GB2312" w:cs="楷体_GB2312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FF0000"/>
      <w:kern w:val="0"/>
      <w:sz w:val="24"/>
    </w:rPr>
  </w:style>
  <w:style w:type="paragraph" w:customStyle="1" w:styleId="xl80">
    <w:name w:val="xl80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81">
    <w:name w:val="xl81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2">
    <w:name w:val="xl82"/>
    <w:basedOn w:val="a"/>
    <w:rsid w:val="00445BA1"/>
    <w:pPr>
      <w:widowControl/>
      <w:pBdr>
        <w:top w:val="double" w:sz="6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3">
    <w:name w:val="xl83"/>
    <w:basedOn w:val="a"/>
    <w:rsid w:val="00445BA1"/>
    <w:pPr>
      <w:widowControl/>
      <w:pBdr>
        <w:top w:val="single" w:sz="4" w:space="0" w:color="008000"/>
        <w:left w:val="double" w:sz="6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4">
    <w:name w:val="xl84"/>
    <w:basedOn w:val="a"/>
    <w:rsid w:val="00445BA1"/>
    <w:pPr>
      <w:widowControl/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b/>
      <w:bCs/>
      <w:color w:val="000000"/>
      <w:kern w:val="0"/>
      <w:sz w:val="24"/>
    </w:rPr>
  </w:style>
  <w:style w:type="character" w:customStyle="1" w:styleId="im-content1">
    <w:name w:val="im-content1"/>
    <w:basedOn w:val="a0"/>
    <w:rsid w:val="000C4BB9"/>
    <w:rPr>
      <w:vanish w:val="0"/>
      <w:webHidden w:val="0"/>
      <w:color w:val="333333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57B7-5057-4BA2-B691-9386810E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周娟</dc:creator>
  <cp:keywords/>
  <dc:description/>
  <cp:lastModifiedBy>高珏</cp:lastModifiedBy>
  <cp:revision>56</cp:revision>
  <dcterms:created xsi:type="dcterms:W3CDTF">2018-09-14T04:43:00Z</dcterms:created>
  <dcterms:modified xsi:type="dcterms:W3CDTF">2018-09-25T05:33:00Z</dcterms:modified>
</cp:coreProperties>
</file>